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6F5D" w:rsidRDefault="00AE2AB1" w:rsidP="00AE2AB1">
      <w:pPr>
        <w:jc w:val="center"/>
        <w:rPr>
          <w:rFonts w:ascii="Times New Roman" w:hAnsi="Times New Roman" w:cs="Times New Roman"/>
          <w:b/>
          <w:sz w:val="28"/>
          <w:szCs w:val="28"/>
        </w:rPr>
      </w:pPr>
      <w:bookmarkStart w:id="0" w:name="_GoBack"/>
      <w:bookmarkEnd w:id="0"/>
      <w:r w:rsidRPr="00AE2AB1">
        <w:rPr>
          <w:rFonts w:ascii="Times New Roman" w:hAnsi="Times New Roman" w:cs="Times New Roman"/>
          <w:b/>
          <w:sz w:val="28"/>
          <w:szCs w:val="28"/>
        </w:rPr>
        <w:t>Il nuovo codice degli appalti: I settori speciali</w:t>
      </w:r>
    </w:p>
    <w:p w:rsidR="004C306F" w:rsidRDefault="004C306F" w:rsidP="00AE2AB1">
      <w:pPr>
        <w:jc w:val="center"/>
        <w:rPr>
          <w:rFonts w:ascii="Times New Roman" w:hAnsi="Times New Roman" w:cs="Times New Roman"/>
          <w:b/>
          <w:sz w:val="28"/>
          <w:szCs w:val="28"/>
        </w:rPr>
      </w:pPr>
    </w:p>
    <w:p w:rsidR="00742BF6" w:rsidRDefault="00742BF6" w:rsidP="00742BF6">
      <w:pPr>
        <w:jc w:val="both"/>
        <w:rPr>
          <w:rFonts w:ascii="Times New Roman" w:hAnsi="Times New Roman" w:cs="Times New Roman"/>
          <w:b/>
          <w:sz w:val="28"/>
          <w:szCs w:val="28"/>
        </w:rPr>
      </w:pPr>
      <w:r>
        <w:rPr>
          <w:rFonts w:ascii="Times New Roman" w:hAnsi="Times New Roman" w:cs="Times New Roman"/>
          <w:b/>
          <w:sz w:val="28"/>
          <w:szCs w:val="28"/>
        </w:rPr>
        <w:t>Sintesi intervento:</w:t>
      </w:r>
    </w:p>
    <w:p w:rsidR="00EA4860" w:rsidRDefault="00EA4860" w:rsidP="00D20288">
      <w:pPr>
        <w:pStyle w:val="Paragrafoelenco"/>
        <w:numPr>
          <w:ilvl w:val="0"/>
          <w:numId w:val="1"/>
        </w:numPr>
        <w:jc w:val="both"/>
        <w:rPr>
          <w:rFonts w:ascii="Times New Roman" w:hAnsi="Times New Roman" w:cs="Times New Roman"/>
          <w:b/>
          <w:sz w:val="28"/>
          <w:szCs w:val="28"/>
        </w:rPr>
      </w:pPr>
      <w:r>
        <w:rPr>
          <w:rFonts w:ascii="Times New Roman" w:hAnsi="Times New Roman" w:cs="Times New Roman"/>
          <w:b/>
          <w:sz w:val="28"/>
          <w:szCs w:val="28"/>
        </w:rPr>
        <w:t>L’evoluzione del concetto di evidenza pubblica</w:t>
      </w:r>
    </w:p>
    <w:p w:rsidR="00742BF6" w:rsidRDefault="00D20288" w:rsidP="00D20288">
      <w:pPr>
        <w:pStyle w:val="Paragrafoelenco"/>
        <w:numPr>
          <w:ilvl w:val="0"/>
          <w:numId w:val="1"/>
        </w:numPr>
        <w:jc w:val="both"/>
        <w:rPr>
          <w:rFonts w:ascii="Times New Roman" w:hAnsi="Times New Roman" w:cs="Times New Roman"/>
          <w:b/>
          <w:sz w:val="28"/>
          <w:szCs w:val="28"/>
        </w:rPr>
      </w:pPr>
      <w:r>
        <w:rPr>
          <w:rFonts w:ascii="Times New Roman" w:hAnsi="Times New Roman" w:cs="Times New Roman"/>
          <w:b/>
          <w:sz w:val="28"/>
          <w:szCs w:val="28"/>
        </w:rPr>
        <w:t>I</w:t>
      </w:r>
      <w:r w:rsidR="004C306F" w:rsidRPr="00742BF6">
        <w:rPr>
          <w:rFonts w:ascii="Times New Roman" w:hAnsi="Times New Roman" w:cs="Times New Roman"/>
          <w:b/>
          <w:sz w:val="28"/>
          <w:szCs w:val="28"/>
        </w:rPr>
        <w:t xml:space="preserve"> settori speciali</w:t>
      </w:r>
      <w:r w:rsidR="00742BF6" w:rsidRPr="00742BF6">
        <w:rPr>
          <w:rFonts w:ascii="Times New Roman" w:hAnsi="Times New Roman" w:cs="Times New Roman"/>
          <w:b/>
          <w:sz w:val="28"/>
          <w:szCs w:val="28"/>
        </w:rPr>
        <w:t>;</w:t>
      </w:r>
    </w:p>
    <w:p w:rsidR="00742BF6" w:rsidRDefault="00742BF6" w:rsidP="00D20288">
      <w:pPr>
        <w:pStyle w:val="Paragrafoelenco"/>
        <w:numPr>
          <w:ilvl w:val="0"/>
          <w:numId w:val="1"/>
        </w:numPr>
        <w:jc w:val="both"/>
        <w:rPr>
          <w:rFonts w:ascii="Times New Roman" w:hAnsi="Times New Roman" w:cs="Times New Roman"/>
          <w:b/>
          <w:sz w:val="28"/>
          <w:szCs w:val="28"/>
        </w:rPr>
      </w:pPr>
      <w:r w:rsidRPr="00742BF6">
        <w:rPr>
          <w:rFonts w:ascii="Times New Roman" w:hAnsi="Times New Roman" w:cs="Times New Roman"/>
          <w:b/>
          <w:sz w:val="28"/>
          <w:szCs w:val="28"/>
        </w:rPr>
        <w:t>R</w:t>
      </w:r>
      <w:r w:rsidR="004C306F" w:rsidRPr="00742BF6">
        <w:rPr>
          <w:rFonts w:ascii="Times New Roman" w:hAnsi="Times New Roman" w:cs="Times New Roman"/>
          <w:b/>
          <w:sz w:val="28"/>
          <w:szCs w:val="28"/>
        </w:rPr>
        <w:t xml:space="preserve">atio </w:t>
      </w:r>
      <w:r w:rsidR="00D20288">
        <w:rPr>
          <w:rFonts w:ascii="Times New Roman" w:hAnsi="Times New Roman" w:cs="Times New Roman"/>
          <w:b/>
          <w:sz w:val="28"/>
          <w:szCs w:val="28"/>
        </w:rPr>
        <w:t xml:space="preserve">e caratteri </w:t>
      </w:r>
      <w:r w:rsidR="004C306F" w:rsidRPr="00742BF6">
        <w:rPr>
          <w:rFonts w:ascii="Times New Roman" w:hAnsi="Times New Roman" w:cs="Times New Roman"/>
          <w:b/>
          <w:sz w:val="28"/>
          <w:szCs w:val="28"/>
        </w:rPr>
        <w:t xml:space="preserve">della disciplina </w:t>
      </w:r>
      <w:r w:rsidR="00D20288">
        <w:rPr>
          <w:rFonts w:ascii="Times New Roman" w:hAnsi="Times New Roman" w:cs="Times New Roman"/>
          <w:b/>
          <w:sz w:val="28"/>
          <w:szCs w:val="28"/>
        </w:rPr>
        <w:t>specifica</w:t>
      </w:r>
      <w:r w:rsidR="004C306F" w:rsidRPr="00742BF6">
        <w:rPr>
          <w:rFonts w:ascii="Times New Roman" w:hAnsi="Times New Roman" w:cs="Times New Roman"/>
          <w:b/>
          <w:sz w:val="28"/>
          <w:szCs w:val="28"/>
        </w:rPr>
        <w:t>;</w:t>
      </w:r>
    </w:p>
    <w:p w:rsidR="00E716B6" w:rsidRDefault="00E716B6" w:rsidP="00D20288">
      <w:pPr>
        <w:pStyle w:val="Paragrafoelenco"/>
        <w:numPr>
          <w:ilvl w:val="0"/>
          <w:numId w:val="1"/>
        </w:numPr>
        <w:jc w:val="both"/>
        <w:rPr>
          <w:rFonts w:ascii="Times New Roman" w:hAnsi="Times New Roman" w:cs="Times New Roman"/>
          <w:b/>
          <w:sz w:val="28"/>
          <w:szCs w:val="28"/>
        </w:rPr>
      </w:pPr>
      <w:r>
        <w:rPr>
          <w:rFonts w:ascii="Times New Roman" w:hAnsi="Times New Roman" w:cs="Times New Roman"/>
          <w:b/>
          <w:sz w:val="28"/>
          <w:szCs w:val="28"/>
        </w:rPr>
        <w:t>Ambito di applicazione;</w:t>
      </w:r>
    </w:p>
    <w:p w:rsidR="00D20288" w:rsidRDefault="00D20288" w:rsidP="00D20288">
      <w:pPr>
        <w:pStyle w:val="Paragrafoelenco"/>
        <w:numPr>
          <w:ilvl w:val="0"/>
          <w:numId w:val="1"/>
        </w:numPr>
        <w:rPr>
          <w:rFonts w:ascii="Times New Roman" w:hAnsi="Times New Roman" w:cs="Times New Roman"/>
          <w:b/>
          <w:sz w:val="28"/>
          <w:szCs w:val="28"/>
        </w:rPr>
      </w:pPr>
      <w:r w:rsidRPr="00D20288">
        <w:rPr>
          <w:rFonts w:ascii="Times New Roman" w:hAnsi="Times New Roman" w:cs="Times New Roman"/>
          <w:b/>
          <w:sz w:val="28"/>
          <w:szCs w:val="28"/>
        </w:rPr>
        <w:t>Le linee della nuova disciplina</w:t>
      </w:r>
      <w:r>
        <w:rPr>
          <w:rFonts w:ascii="Times New Roman" w:hAnsi="Times New Roman" w:cs="Times New Roman"/>
          <w:b/>
          <w:sz w:val="28"/>
          <w:szCs w:val="28"/>
        </w:rPr>
        <w:t>;</w:t>
      </w:r>
    </w:p>
    <w:p w:rsidR="00E716B6" w:rsidRDefault="00E716B6" w:rsidP="00D20288">
      <w:pPr>
        <w:pStyle w:val="Paragrafoelenco"/>
        <w:numPr>
          <w:ilvl w:val="0"/>
          <w:numId w:val="1"/>
        </w:numPr>
        <w:rPr>
          <w:rFonts w:ascii="Times New Roman" w:hAnsi="Times New Roman" w:cs="Times New Roman"/>
          <w:b/>
          <w:sz w:val="28"/>
          <w:szCs w:val="28"/>
        </w:rPr>
      </w:pPr>
      <w:r>
        <w:rPr>
          <w:rFonts w:ascii="Times New Roman" w:hAnsi="Times New Roman" w:cs="Times New Roman"/>
          <w:b/>
          <w:sz w:val="28"/>
          <w:szCs w:val="28"/>
        </w:rPr>
        <w:t>Caratteri della riforma;</w:t>
      </w:r>
    </w:p>
    <w:p w:rsidR="00E716B6" w:rsidRPr="00D20288" w:rsidRDefault="00E716B6" w:rsidP="00D20288">
      <w:pPr>
        <w:pStyle w:val="Paragrafoelenco"/>
        <w:numPr>
          <w:ilvl w:val="0"/>
          <w:numId w:val="1"/>
        </w:numPr>
        <w:rPr>
          <w:rFonts w:ascii="Times New Roman" w:hAnsi="Times New Roman" w:cs="Times New Roman"/>
          <w:b/>
          <w:sz w:val="28"/>
          <w:szCs w:val="28"/>
        </w:rPr>
      </w:pPr>
      <w:r>
        <w:rPr>
          <w:rFonts w:ascii="Times New Roman" w:hAnsi="Times New Roman" w:cs="Times New Roman"/>
          <w:b/>
          <w:sz w:val="28"/>
          <w:szCs w:val="28"/>
        </w:rPr>
        <w:t>La nozione di strumentalità</w:t>
      </w:r>
    </w:p>
    <w:p w:rsidR="00810332" w:rsidRDefault="00810332" w:rsidP="002629BF">
      <w:pPr>
        <w:jc w:val="both"/>
        <w:rPr>
          <w:rFonts w:ascii="Times New Roman" w:hAnsi="Times New Roman" w:cs="Times New Roman"/>
          <w:b/>
          <w:sz w:val="28"/>
          <w:szCs w:val="28"/>
        </w:rPr>
      </w:pPr>
    </w:p>
    <w:p w:rsidR="00EA4860" w:rsidRDefault="00EA4860" w:rsidP="00173EEC">
      <w:pPr>
        <w:jc w:val="both"/>
        <w:rPr>
          <w:rFonts w:ascii="Times New Roman" w:hAnsi="Times New Roman" w:cs="Times New Roman"/>
          <w:b/>
          <w:sz w:val="28"/>
          <w:szCs w:val="28"/>
        </w:rPr>
      </w:pPr>
      <w:r>
        <w:rPr>
          <w:rFonts w:ascii="Times New Roman" w:hAnsi="Times New Roman" w:cs="Times New Roman"/>
          <w:b/>
          <w:sz w:val="28"/>
          <w:szCs w:val="28"/>
        </w:rPr>
        <w:t>L’evoluzione del concetto di evidenza pubblica</w:t>
      </w:r>
    </w:p>
    <w:p w:rsidR="00EA4860" w:rsidRPr="00EA4860" w:rsidRDefault="00EA4860" w:rsidP="00173EEC">
      <w:pPr>
        <w:jc w:val="both"/>
        <w:rPr>
          <w:rFonts w:ascii="Times New Roman" w:hAnsi="Times New Roman" w:cs="Times New Roman"/>
          <w:sz w:val="28"/>
          <w:szCs w:val="28"/>
        </w:rPr>
      </w:pPr>
      <w:r w:rsidRPr="00EA4860">
        <w:rPr>
          <w:rFonts w:ascii="Times New Roman" w:hAnsi="Times New Roman" w:cs="Times New Roman"/>
          <w:sz w:val="28"/>
          <w:szCs w:val="28"/>
        </w:rPr>
        <w:t xml:space="preserve">La ratio del disegno legislativo originario, di cui essenzialmente alla legge di contabilità del 1923 e del relativo regolamento, aveva una matrice </w:t>
      </w:r>
      <w:proofErr w:type="spellStart"/>
      <w:r w:rsidRPr="00EA4860">
        <w:rPr>
          <w:rFonts w:ascii="Times New Roman" w:hAnsi="Times New Roman" w:cs="Times New Roman"/>
          <w:sz w:val="28"/>
          <w:szCs w:val="28"/>
        </w:rPr>
        <w:t>contabilistica</w:t>
      </w:r>
      <w:proofErr w:type="spellEnd"/>
      <w:r w:rsidRPr="00EA4860">
        <w:rPr>
          <w:rFonts w:ascii="Times New Roman" w:hAnsi="Times New Roman" w:cs="Times New Roman"/>
          <w:sz w:val="28"/>
          <w:szCs w:val="28"/>
        </w:rPr>
        <w:t xml:space="preserve"> e perseguiva l’obiettivo di assicurare all’amministrazione l’acquisizione delle necessarie prestazioni del mercato alle condizioni economicamente più favorevoli. Da ciò la centralità dell’asta pubblica quale modalità ordinaria di selezione del contraente discrezionalmente scelta dall’amministrazione in alternativa alla licitazione privata. </w:t>
      </w:r>
    </w:p>
    <w:p w:rsidR="00EA4860" w:rsidRDefault="00EA4860" w:rsidP="00173EEC">
      <w:pPr>
        <w:jc w:val="both"/>
        <w:rPr>
          <w:rFonts w:ascii="Times New Roman" w:hAnsi="Times New Roman" w:cs="Times New Roman"/>
          <w:sz w:val="28"/>
          <w:szCs w:val="28"/>
        </w:rPr>
      </w:pPr>
      <w:r w:rsidRPr="00EA4860">
        <w:rPr>
          <w:rFonts w:ascii="Times New Roman" w:hAnsi="Times New Roman" w:cs="Times New Roman"/>
          <w:sz w:val="28"/>
          <w:szCs w:val="28"/>
        </w:rPr>
        <w:t xml:space="preserve">La procedura ad evidenza pubblica tutelava in via immediata e diretta l’amministrazione e di riflesso i partecipanti alla stessa. In questo contesto si innesta la disciplina </w:t>
      </w:r>
      <w:proofErr w:type="spellStart"/>
      <w:r w:rsidRPr="00EA4860">
        <w:rPr>
          <w:rFonts w:ascii="Times New Roman" w:hAnsi="Times New Roman" w:cs="Times New Roman"/>
          <w:sz w:val="28"/>
          <w:szCs w:val="28"/>
        </w:rPr>
        <w:t>proconcorrenziale</w:t>
      </w:r>
      <w:proofErr w:type="spellEnd"/>
      <w:r w:rsidRPr="00EA4860">
        <w:rPr>
          <w:rFonts w:ascii="Times New Roman" w:hAnsi="Times New Roman" w:cs="Times New Roman"/>
          <w:sz w:val="28"/>
          <w:szCs w:val="28"/>
        </w:rPr>
        <w:t xml:space="preserve"> delle Direttive europee, corollario del principio di libera circolazione intracomunitaria delle merci e dei servizi (14). In particolare, nell’impostazione europea, la tutela della concorrenza non riguarda solo il mercato, ma anche il rapporto tra azione pubblica e quest’ultimo e, dunque, l’attività degli enti pubblici in qualità di committenti o di concedenti. Rispetto all’impostazione </w:t>
      </w:r>
      <w:proofErr w:type="spellStart"/>
      <w:r w:rsidRPr="00EA4860">
        <w:rPr>
          <w:rFonts w:ascii="Times New Roman" w:hAnsi="Times New Roman" w:cs="Times New Roman"/>
          <w:sz w:val="28"/>
          <w:szCs w:val="28"/>
        </w:rPr>
        <w:t>contabilistica</w:t>
      </w:r>
      <w:proofErr w:type="spellEnd"/>
      <w:r w:rsidRPr="00EA4860">
        <w:rPr>
          <w:rFonts w:ascii="Times New Roman" w:hAnsi="Times New Roman" w:cs="Times New Roman"/>
          <w:sz w:val="28"/>
          <w:szCs w:val="28"/>
        </w:rPr>
        <w:t xml:space="preserve"> precedente, la tutela dei partecipanti alla gara non è solo un riflesso, ma l’oggetto principale e diretto della tutela. La diversità di ratio che contraddistingue la procedura ad evidenza pubblica nel diritto </w:t>
      </w:r>
      <w:proofErr w:type="spellStart"/>
      <w:r w:rsidRPr="00EA4860">
        <w:rPr>
          <w:rFonts w:ascii="Times New Roman" w:hAnsi="Times New Roman" w:cs="Times New Roman"/>
          <w:sz w:val="28"/>
          <w:szCs w:val="28"/>
        </w:rPr>
        <w:t>eurounitario</w:t>
      </w:r>
      <w:proofErr w:type="spellEnd"/>
      <w:r w:rsidRPr="00EA4860">
        <w:rPr>
          <w:rFonts w:ascii="Times New Roman" w:hAnsi="Times New Roman" w:cs="Times New Roman"/>
          <w:sz w:val="28"/>
          <w:szCs w:val="28"/>
        </w:rPr>
        <w:t xml:space="preserve"> ha dei risvolti, non solo sulla conformazione procedurale della stessa, ma anche - o, meglio, soprattutto - sull’ambito soggettivo di applicazione (16). In particolare, vengono inclusi nell’ambito di applicazione non solo gli enti pubblici in senso stretto, ma anche altri soggetti che, a prescindere dalla loro natura giuridica pubblica o privata, presentano caratteristiche organizzative, patrimoniali e funzionali tali da giustificare un analogo trattamento rispetto ai primi. È il caso, in particolare, degli “organismi di diritto pubblico”, entità che, al di là della forma giuridica pubblica o privata, sono caratterizzate dalla esistenza di un’influenza pubblica economica o organizzativa sulle stesse da parte di soggetti pubblici e da una gestione non imprenditoriale protesa sostanzialmente al </w:t>
      </w:r>
      <w:r w:rsidRPr="00EA4860">
        <w:rPr>
          <w:rFonts w:ascii="Times New Roman" w:hAnsi="Times New Roman" w:cs="Times New Roman"/>
          <w:sz w:val="28"/>
          <w:szCs w:val="28"/>
        </w:rPr>
        <w:lastRenderedPageBreak/>
        <w:t>perseguimento necessario di finalità pubblicistiche (18). L’assoggettamento alla disciplina sugli appalti si giustifica in ragione del profilo soggettivo. Le pubbliche amministrazioni e i soggetti equiparati, infatti, non sono incentivati ad assumere naturalmente una condotta rispettosa della concorrenza perché le loro caratteristiche li espongono al rischio di condotte antieconomiche nel concludere contratti di approvvigionamento.</w:t>
      </w:r>
    </w:p>
    <w:p w:rsidR="00EA4860" w:rsidRPr="00EA4860" w:rsidRDefault="00EA4860" w:rsidP="00173EEC">
      <w:pPr>
        <w:jc w:val="both"/>
        <w:rPr>
          <w:rFonts w:ascii="Times New Roman" w:hAnsi="Times New Roman" w:cs="Times New Roman"/>
          <w:sz w:val="28"/>
          <w:szCs w:val="28"/>
        </w:rPr>
      </w:pPr>
    </w:p>
    <w:p w:rsidR="00742BF6" w:rsidRDefault="00742BF6" w:rsidP="00173EEC">
      <w:pPr>
        <w:jc w:val="both"/>
        <w:rPr>
          <w:rFonts w:ascii="Times New Roman" w:hAnsi="Times New Roman" w:cs="Times New Roman"/>
          <w:b/>
          <w:sz w:val="28"/>
          <w:szCs w:val="28"/>
        </w:rPr>
      </w:pPr>
      <w:r>
        <w:rPr>
          <w:rFonts w:ascii="Times New Roman" w:hAnsi="Times New Roman" w:cs="Times New Roman"/>
          <w:b/>
          <w:sz w:val="28"/>
          <w:szCs w:val="28"/>
        </w:rPr>
        <w:t xml:space="preserve">I settori speciali </w:t>
      </w:r>
    </w:p>
    <w:p w:rsidR="00AA25C5" w:rsidRPr="00742BF6" w:rsidRDefault="00173EEC" w:rsidP="00173EEC">
      <w:pPr>
        <w:jc w:val="both"/>
        <w:rPr>
          <w:rFonts w:ascii="Times New Roman" w:hAnsi="Times New Roman" w:cs="Times New Roman"/>
          <w:sz w:val="28"/>
          <w:szCs w:val="28"/>
        </w:rPr>
      </w:pPr>
      <w:r w:rsidRPr="00742BF6">
        <w:rPr>
          <w:rFonts w:ascii="Times New Roman" w:hAnsi="Times New Roman" w:cs="Times New Roman"/>
          <w:sz w:val="28"/>
          <w:szCs w:val="28"/>
        </w:rPr>
        <w:t xml:space="preserve">I c.d. settori speciali, per loro stessa natura, sono caratterizzati da una disciplina più flessibile rispetto a quella prevista per i settori ordinari. L’esigenza di una disciplina speciale per specifici ambiti di attività nasce dalla necessità di estendere la normativa dei contratti pubblici a settori caratterizzati da diverse forme organizzative, incentrate tanto sulle amministrazioni pubbliche quanto su soggetti di natura privata. L’applicazione delle norme ordinarie ai suddetti settori, infatti, avrebbe finito per comportare nei diversi Stati membri una disparità di trattamento dovuta alle caratteristiche soggettive del soggetto incaricato del servizio, con il rischio di comprimere sia le esigenze tipiche di gestione di tali settori che le loro caratteristiche. </w:t>
      </w:r>
    </w:p>
    <w:p w:rsidR="00173EEC" w:rsidRDefault="00173EEC" w:rsidP="00173EEC">
      <w:pPr>
        <w:jc w:val="both"/>
        <w:rPr>
          <w:rFonts w:ascii="Times New Roman" w:hAnsi="Times New Roman" w:cs="Times New Roman"/>
          <w:sz w:val="28"/>
          <w:szCs w:val="28"/>
        </w:rPr>
      </w:pPr>
      <w:r w:rsidRPr="00742BF6">
        <w:rPr>
          <w:rFonts w:ascii="Times New Roman" w:hAnsi="Times New Roman" w:cs="Times New Roman"/>
          <w:sz w:val="28"/>
          <w:szCs w:val="28"/>
        </w:rPr>
        <w:t>Nel nuovo Codice dei contratti pubblici, analogamente a quanto previsto nel Codice vigente, i settori speciali riguardano le attività descritte dagli artt. 146- 152 e, in particolare, la messa a disposizione o la gestione di reti fisse destinate al servizio pubblico di fornitura di gas ed energia termica, elettricità e acqua; la messa a disposizione e la gestione di reti destinate al trasporto pubblico ferroviario, tranviario, filoviario, mediante autobus, sistemi automatici o cavo; la messa a disposizione di aeroporti, porti marittimi o interni e di altri terminali di trasporto ai vettori aerei, marittimi e fluviali; il servizio postale; l’estrazione di petrolio o di gas e la prospezione o estrazione di carbone o di altri combustibili solidi. Sul piano degli obiettivi, invece, la legge delega di riforma del Codice dei contratti pubblici (4) ha imposto specifici criteri direttivi volti, da un lato, a introdurre o mantenere livelli di regolazione corrispondenti a quelli minimi previsti nelle direttive comunitarie, dall’altro, assicurare la razionalizzazione e la riduzione delle norme in materia di appalti pubblici, tenendo comunque conto della specificità dei contratti nei settori speciali</w:t>
      </w:r>
      <w:r w:rsidR="00D20288">
        <w:rPr>
          <w:rFonts w:ascii="Times New Roman" w:hAnsi="Times New Roman" w:cs="Times New Roman"/>
          <w:sz w:val="28"/>
          <w:szCs w:val="28"/>
        </w:rPr>
        <w:t>.</w:t>
      </w:r>
    </w:p>
    <w:p w:rsidR="00D20288" w:rsidRPr="00D20288" w:rsidRDefault="00D20288" w:rsidP="00D20288">
      <w:pPr>
        <w:jc w:val="both"/>
        <w:rPr>
          <w:rFonts w:ascii="Times New Roman" w:hAnsi="Times New Roman" w:cs="Times New Roman"/>
          <w:sz w:val="28"/>
          <w:szCs w:val="28"/>
        </w:rPr>
      </w:pPr>
      <w:r w:rsidRPr="00D20288">
        <w:rPr>
          <w:rFonts w:ascii="Times New Roman" w:hAnsi="Times New Roman" w:cs="Times New Roman"/>
          <w:sz w:val="28"/>
          <w:szCs w:val="28"/>
        </w:rPr>
        <w:t xml:space="preserve">Sebbene la normativa, sia quella del codice attualmente vigente sia la nuova, faccia riferimento ai “settori speciali”, con ciò facendo intendere la rilevanza ai fini della sua applicazione di interi settori industriali, in realtà la stessa individua solo alcuni segmenti di attività inclusi negli stessi. In particolare, per gran parte dei settori (gas ed energia termica, elettricità, acqua) viene in rilievo, da un lato, l’attività di “messa a disposizione” o </w:t>
      </w:r>
      <w:proofErr w:type="spellStart"/>
      <w:proofErr w:type="gramStart"/>
      <w:r w:rsidRPr="00D20288">
        <w:rPr>
          <w:rFonts w:ascii="Times New Roman" w:hAnsi="Times New Roman" w:cs="Times New Roman"/>
          <w:sz w:val="28"/>
          <w:szCs w:val="28"/>
        </w:rPr>
        <w:t>di“</w:t>
      </w:r>
      <w:proofErr w:type="gramEnd"/>
      <w:r w:rsidRPr="00D20288">
        <w:rPr>
          <w:rFonts w:ascii="Times New Roman" w:hAnsi="Times New Roman" w:cs="Times New Roman"/>
          <w:sz w:val="28"/>
          <w:szCs w:val="28"/>
        </w:rPr>
        <w:t>gestione</w:t>
      </w:r>
      <w:proofErr w:type="spellEnd"/>
      <w:r w:rsidRPr="00D20288">
        <w:rPr>
          <w:rFonts w:ascii="Times New Roman" w:hAnsi="Times New Roman" w:cs="Times New Roman"/>
          <w:sz w:val="28"/>
          <w:szCs w:val="28"/>
        </w:rPr>
        <w:t xml:space="preserve">” della rete, dall’altro l’attività di “alimentazione” della stessa. La “messa a disposizione” si riferisce all’attività di interconnessione e accesso a favore di terzi, l’attività di “gestione” riguarda il soggetto che ha in carico la rete che però può coincidere con chi eroga il servizio. Il termine “alimentazione” appare una espressione impropria considerato che si tratta di settori nei quali sono generalmente in uso termini giuridici tipici per indicare le varie attività che li caratterizzano (produzione, vendita, ecc.). Sul punto interviene, comunque, l’art. 114, comma 7, </w:t>
      </w:r>
      <w:proofErr w:type="spellStart"/>
      <w:proofErr w:type="gramStart"/>
      <w:r w:rsidRPr="00D20288">
        <w:rPr>
          <w:rFonts w:ascii="Times New Roman" w:hAnsi="Times New Roman" w:cs="Times New Roman"/>
          <w:sz w:val="28"/>
          <w:szCs w:val="28"/>
        </w:rPr>
        <w:t>D.Lgs</w:t>
      </w:r>
      <w:proofErr w:type="gramEnd"/>
      <w:r w:rsidRPr="00D20288">
        <w:rPr>
          <w:rFonts w:ascii="Times New Roman" w:hAnsi="Times New Roman" w:cs="Times New Roman"/>
          <w:sz w:val="28"/>
          <w:szCs w:val="28"/>
        </w:rPr>
        <w:t>.</w:t>
      </w:r>
      <w:proofErr w:type="spellEnd"/>
      <w:r w:rsidRPr="00D20288">
        <w:rPr>
          <w:rFonts w:ascii="Times New Roman" w:hAnsi="Times New Roman" w:cs="Times New Roman"/>
          <w:sz w:val="28"/>
          <w:szCs w:val="28"/>
        </w:rPr>
        <w:t xml:space="preserve"> n. 50/2016, secondo cui l’“alimentazione” comprende la “generazione, produzione nonché la vendita all’ingrosso e al dettaglio”. Nel settore del “trasporto”, oggetto in particolare del presente contributo, viene in rilievo soltanto l’attività di “messa a disposizione” o di “gestione” della rete e, almeno testualmente, non anche l’attività di erogazione del servizio. La gestione della rete riguarda l’attività posta a monte rispetto all’erogazione del servizio, comprendendo la realizzazione degli investimenti infrastrutturali destinanti all’ampliamento e potenziamento della stessa, nonché degli interventi di ristrutturazione e valorizzazione necessari a adeguare nel tempo le caratteristiche funzionali, ed è generalmente separata dall’attività di erogazione. In passato, il perimetro del concetto di “rete”, in particolare quella infrastrutturale, è stato oggetto di incertezze con riferimento ad aspetti essenziali. Ad esempio, le stazioni ferroviarie sono state dapprima ritenute nella loro integrità elementi costitutivi della rete ferroviaria. Successivamente, l’orientamento è stato ridimensionato considerando pertinenti soltanto gli edifici della stazione funzionalmente qualificabili come infrastrutture di rete e non ogni edificio spazialmente contiguo alla stazione. Tra i settori speciali, figurano anche i “servizi postali”. A differenza degli altri settori esaminanti, questi ultimi vengono inclusi come settore industriale nel suo complesso. In senso ancor più estensivo, vengono incluse nel settore anche attività accessorie o complementari non rientranti nel servizio postale purché svolte da un soggetto che svolge il servizio postale. </w:t>
      </w:r>
    </w:p>
    <w:p w:rsidR="00D20288" w:rsidRPr="00742BF6" w:rsidRDefault="00D20288" w:rsidP="00173EEC">
      <w:pPr>
        <w:jc w:val="both"/>
        <w:rPr>
          <w:rFonts w:ascii="Times New Roman" w:hAnsi="Times New Roman" w:cs="Times New Roman"/>
          <w:sz w:val="28"/>
          <w:szCs w:val="28"/>
        </w:rPr>
      </w:pPr>
    </w:p>
    <w:p w:rsidR="002406A5" w:rsidRPr="002406A5" w:rsidRDefault="00D20288" w:rsidP="002406A5">
      <w:pPr>
        <w:jc w:val="both"/>
        <w:rPr>
          <w:rFonts w:ascii="Times New Roman" w:hAnsi="Times New Roman" w:cs="Times New Roman"/>
          <w:b/>
          <w:sz w:val="28"/>
          <w:szCs w:val="28"/>
        </w:rPr>
      </w:pPr>
      <w:r w:rsidRPr="00D20288">
        <w:rPr>
          <w:rFonts w:ascii="Times New Roman" w:hAnsi="Times New Roman" w:cs="Times New Roman"/>
          <w:b/>
          <w:i/>
          <w:sz w:val="28"/>
          <w:szCs w:val="28"/>
        </w:rPr>
        <w:t>R</w:t>
      </w:r>
      <w:r w:rsidR="002406A5" w:rsidRPr="002406A5">
        <w:rPr>
          <w:rFonts w:ascii="Times New Roman" w:hAnsi="Times New Roman" w:cs="Times New Roman"/>
          <w:b/>
          <w:i/>
          <w:iCs/>
          <w:sz w:val="28"/>
          <w:szCs w:val="28"/>
        </w:rPr>
        <w:t>atio</w:t>
      </w:r>
      <w:r w:rsidR="00EA4860">
        <w:rPr>
          <w:rFonts w:ascii="Times New Roman" w:hAnsi="Times New Roman" w:cs="Times New Roman"/>
          <w:b/>
          <w:sz w:val="28"/>
          <w:szCs w:val="28"/>
        </w:rPr>
        <w:t xml:space="preserve"> </w:t>
      </w:r>
      <w:r>
        <w:rPr>
          <w:rFonts w:ascii="Times New Roman" w:hAnsi="Times New Roman" w:cs="Times New Roman"/>
          <w:b/>
          <w:sz w:val="28"/>
          <w:szCs w:val="28"/>
        </w:rPr>
        <w:t xml:space="preserve">e caratteri </w:t>
      </w:r>
      <w:r w:rsidR="002406A5" w:rsidRPr="002406A5">
        <w:rPr>
          <w:rFonts w:ascii="Times New Roman" w:hAnsi="Times New Roman" w:cs="Times New Roman"/>
          <w:b/>
          <w:sz w:val="28"/>
          <w:szCs w:val="28"/>
        </w:rPr>
        <w:t>della disciplina</w:t>
      </w:r>
      <w:r w:rsidR="00742BF6">
        <w:rPr>
          <w:rFonts w:ascii="Times New Roman" w:hAnsi="Times New Roman" w:cs="Times New Roman"/>
          <w:b/>
          <w:sz w:val="28"/>
          <w:szCs w:val="28"/>
        </w:rPr>
        <w:t xml:space="preserve"> specifica</w:t>
      </w:r>
      <w:r w:rsidR="002406A5" w:rsidRPr="002406A5">
        <w:rPr>
          <w:rFonts w:ascii="Times New Roman" w:hAnsi="Times New Roman" w:cs="Times New Roman"/>
          <w:b/>
          <w:sz w:val="28"/>
          <w:szCs w:val="28"/>
        </w:rPr>
        <w:t>.</w:t>
      </w:r>
    </w:p>
    <w:p w:rsidR="00EA4860" w:rsidRPr="00774616" w:rsidRDefault="00EA4860" w:rsidP="00EA4860">
      <w:pPr>
        <w:jc w:val="both"/>
        <w:rPr>
          <w:rFonts w:ascii="Times New Roman" w:hAnsi="Times New Roman" w:cs="Times New Roman"/>
          <w:sz w:val="28"/>
          <w:szCs w:val="28"/>
        </w:rPr>
      </w:pPr>
      <w:r w:rsidRPr="00774616">
        <w:rPr>
          <w:rFonts w:ascii="Times New Roman" w:hAnsi="Times New Roman" w:cs="Times New Roman"/>
          <w:sz w:val="28"/>
          <w:szCs w:val="28"/>
        </w:rPr>
        <w:t xml:space="preserve">Il diritto </w:t>
      </w:r>
      <w:proofErr w:type="spellStart"/>
      <w:r w:rsidRPr="00774616">
        <w:rPr>
          <w:rFonts w:ascii="Times New Roman" w:hAnsi="Times New Roman" w:cs="Times New Roman"/>
          <w:sz w:val="28"/>
          <w:szCs w:val="28"/>
        </w:rPr>
        <w:t>eurounitario</w:t>
      </w:r>
      <w:proofErr w:type="spellEnd"/>
      <w:r w:rsidRPr="00774616">
        <w:rPr>
          <w:rFonts w:ascii="Times New Roman" w:hAnsi="Times New Roman" w:cs="Times New Roman"/>
          <w:sz w:val="28"/>
          <w:szCs w:val="28"/>
        </w:rPr>
        <w:t xml:space="preserve"> - e, in particolare, la Dir. 2014/25/UE prevede una disciplina speciale in relazione ad alcuni settori, definiti “speciali” e corrispondenti tendenzialmente alle attività di fornitura dei tradizionali servizi pubblici (acqua, energia, trasporti e servizi postali). Gli appalti in tali settori costituiscono una quota economica importante e in origine erano esclusi dall’ambito di applicazione della normativa comunitaria sugli appalti (da ciò la definizione originaria di “settori esclusi”). Ufficialmente, la ragione dell’esclusione è stata legata a una intrinseca difficoltà di adattamento della nuova disciplina, concepita e impostata per i soggetti pubblici, rispetto a settori produttivi che invece vedevano coinvolte soggettività di varia natura e con modelli organizzativi anche di tipo privatistico. In realtà, è diffusa l’idea che l’esclusione sia stata dovuta a una sorta di pretesa protezionistica degli Stati membri in relazione a settori strategici. Successivamente, per la loro rilevanza economica, l’inclusione è stata ineluttabile, ma sono stati assoggettati a una disciplina speciale più flessibile che ha tenuto conto delle peculiarità di sistema, nel quale si trovavano ad operare soggetti imprenditoriali in forma privatistica, sia pure in parte condizionati da logiche pubblicistiche. A partire dagli anni ’90 del secolo scorso, tali settori sono stati coinvolti nei processi di liberalizzazione di matrice europea. Ciò avrebbe dovuto condurre alla creazione di mercati pienamente concorrenziali. Uno scenario di questo tipo avrebbe evitato in radice la necessità di assoggettare tali settori alla disciplina sugli appalti. Il pungolo della concorrenza, infatti, avrebbe determinato negli operatori un naturale comportamento di efficienza anche in sede di aggiudicazione dei contratti.</w:t>
      </w:r>
    </w:p>
    <w:p w:rsidR="00774616" w:rsidRPr="00774616" w:rsidRDefault="00EA4860" w:rsidP="00EA4860">
      <w:pPr>
        <w:jc w:val="both"/>
        <w:rPr>
          <w:rFonts w:ascii="Times New Roman" w:hAnsi="Times New Roman" w:cs="Times New Roman"/>
          <w:sz w:val="28"/>
          <w:szCs w:val="28"/>
        </w:rPr>
      </w:pPr>
      <w:r w:rsidRPr="00774616">
        <w:rPr>
          <w:rFonts w:ascii="Times New Roman" w:hAnsi="Times New Roman" w:cs="Times New Roman"/>
          <w:sz w:val="28"/>
          <w:szCs w:val="28"/>
        </w:rPr>
        <w:t xml:space="preserve">Tuttavia, i richiamati settori continuavano (e continuano) ad essere soggetti all’influenza delle autorità pubbliche nazionali sulle imprese che vi operano (attraverso la partecipazione al loro capitale sociale o l’inserimento di propri rappresentanti nei loro organi amministrativi, direttivi o di vigilanza) o continuano a registrare elevati livelli di concentrazione di mercato o una concorrenza debole. Continua, dunque, ad essere necessaria l’applicazione della disciplina sui contratti pubblici. </w:t>
      </w:r>
    </w:p>
    <w:p w:rsidR="00774616" w:rsidRPr="00774616" w:rsidRDefault="00774616" w:rsidP="00774616">
      <w:pPr>
        <w:jc w:val="both"/>
        <w:rPr>
          <w:rFonts w:ascii="Times New Roman" w:hAnsi="Times New Roman" w:cs="Times New Roman"/>
          <w:sz w:val="28"/>
          <w:szCs w:val="28"/>
        </w:rPr>
      </w:pPr>
      <w:r w:rsidRPr="00774616">
        <w:rPr>
          <w:rFonts w:ascii="Times New Roman" w:hAnsi="Times New Roman" w:cs="Times New Roman"/>
          <w:sz w:val="28"/>
          <w:szCs w:val="28"/>
        </w:rPr>
        <w:t>Anzitutto viene considerato il fatto che le autorità nazionali sono in grado di influenzare il comportamento degli operatori del settore, anche attraverso la partecipazione al loro capitale sociale e l’inserimento di propri rappresentanti nei loro organi.</w:t>
      </w:r>
    </w:p>
    <w:p w:rsidR="00774616" w:rsidRPr="00774616" w:rsidRDefault="00774616" w:rsidP="00774616">
      <w:pPr>
        <w:jc w:val="both"/>
        <w:rPr>
          <w:rFonts w:ascii="Times New Roman" w:hAnsi="Times New Roman" w:cs="Times New Roman"/>
          <w:sz w:val="28"/>
          <w:szCs w:val="28"/>
        </w:rPr>
      </w:pPr>
      <w:r w:rsidRPr="00774616">
        <w:rPr>
          <w:rFonts w:ascii="Times New Roman" w:hAnsi="Times New Roman" w:cs="Times New Roman"/>
          <w:sz w:val="28"/>
          <w:szCs w:val="28"/>
        </w:rPr>
        <w:t>Inoltre viene evidenziata la natura chiusa dei mercati di tali settori, caratterizzati dall’esistenza di diritti speciali o esclusivi aventi l'effetto di riservare a uno o più operatori l'esercizio di un’attività, così incidendo sulla (in)capacità di altri di esercitarla.</w:t>
      </w:r>
    </w:p>
    <w:p w:rsidR="00774616" w:rsidRPr="00774616" w:rsidRDefault="00774616" w:rsidP="00774616">
      <w:pPr>
        <w:jc w:val="both"/>
        <w:rPr>
          <w:rFonts w:ascii="Times New Roman" w:hAnsi="Times New Roman" w:cs="Times New Roman"/>
          <w:sz w:val="28"/>
          <w:szCs w:val="28"/>
        </w:rPr>
      </w:pPr>
      <w:r w:rsidRPr="00774616">
        <w:rPr>
          <w:rFonts w:ascii="Times New Roman" w:hAnsi="Times New Roman" w:cs="Times New Roman"/>
          <w:sz w:val="28"/>
          <w:szCs w:val="28"/>
        </w:rPr>
        <w:t xml:space="preserve">Questi due elementi (“presenza pubblica” </w:t>
      </w:r>
      <w:proofErr w:type="gramStart"/>
      <w:r w:rsidRPr="00774616">
        <w:rPr>
          <w:rFonts w:ascii="Times New Roman" w:hAnsi="Times New Roman" w:cs="Times New Roman"/>
          <w:sz w:val="28"/>
          <w:szCs w:val="28"/>
        </w:rPr>
        <w:t>e “</w:t>
      </w:r>
      <w:proofErr w:type="gramEnd"/>
      <w:r w:rsidRPr="00774616">
        <w:rPr>
          <w:rFonts w:ascii="Times New Roman" w:hAnsi="Times New Roman" w:cs="Times New Roman"/>
          <w:sz w:val="28"/>
          <w:szCs w:val="28"/>
        </w:rPr>
        <w:t>chiusura del mercato”), per il sentire comunitario, finiscono con il limitare quelle componenti concorrenziali che dovrebbero garantire una prudente gestione aziendale, in particolare in ordine alla individuazione dei fornitori; da qui l’opportunità di assoggettarne la scelta al rispetto di procedure vincolate.</w:t>
      </w:r>
    </w:p>
    <w:p w:rsidR="00774616" w:rsidRPr="00774616" w:rsidRDefault="00774616" w:rsidP="00774616">
      <w:pPr>
        <w:jc w:val="both"/>
        <w:rPr>
          <w:rFonts w:ascii="Times New Roman" w:hAnsi="Times New Roman" w:cs="Times New Roman"/>
          <w:sz w:val="28"/>
          <w:szCs w:val="28"/>
        </w:rPr>
      </w:pPr>
      <w:r w:rsidRPr="00774616">
        <w:rPr>
          <w:rFonts w:ascii="Times New Roman" w:hAnsi="Times New Roman" w:cs="Times New Roman"/>
          <w:sz w:val="28"/>
          <w:szCs w:val="28"/>
        </w:rPr>
        <w:t>In altri termini l’esistenza di un ambito operativo protetto consente agli operatori di derogare alle (normali) regole di gestione imprenditoriale che impongono un oculato ed efficiente impiego delle risorse economiche a disposizione.</w:t>
      </w:r>
    </w:p>
    <w:p w:rsidR="00774616" w:rsidRPr="00774616" w:rsidRDefault="00774616" w:rsidP="00774616">
      <w:pPr>
        <w:jc w:val="both"/>
        <w:rPr>
          <w:rFonts w:ascii="Times New Roman" w:hAnsi="Times New Roman" w:cs="Times New Roman"/>
          <w:sz w:val="28"/>
          <w:szCs w:val="28"/>
        </w:rPr>
      </w:pPr>
      <w:r w:rsidRPr="00774616">
        <w:rPr>
          <w:rFonts w:ascii="Times New Roman" w:hAnsi="Times New Roman" w:cs="Times New Roman"/>
          <w:sz w:val="28"/>
          <w:szCs w:val="28"/>
        </w:rPr>
        <w:t>A dire il vero la presenza pubblica (con la conseguente partecipazione all’azionariato e la nomina di amministratori) si riscontra anche nelle imprese operanti nei settori ordinari senonché, in relazione a queste, il legislatore comunitario (e domestico) non impone il ricorso alle procedure vincolistiche per la scelta dei contraenti.</w:t>
      </w:r>
    </w:p>
    <w:p w:rsidR="00774616" w:rsidRPr="00774616" w:rsidRDefault="00774616" w:rsidP="00774616">
      <w:pPr>
        <w:jc w:val="both"/>
        <w:rPr>
          <w:rFonts w:ascii="Times New Roman" w:hAnsi="Times New Roman" w:cs="Times New Roman"/>
          <w:sz w:val="28"/>
          <w:szCs w:val="28"/>
        </w:rPr>
      </w:pPr>
      <w:r w:rsidRPr="00774616">
        <w:rPr>
          <w:rFonts w:ascii="Times New Roman" w:hAnsi="Times New Roman" w:cs="Times New Roman"/>
          <w:sz w:val="28"/>
          <w:szCs w:val="28"/>
        </w:rPr>
        <w:t>In tal caso, infatti, il legislatore presume che l’operatore - trovandosi a svolgere la sua attività in mercati concorrenziali e aperti - sia spinto dalle stesse forze del mercato a scegliere i propri contraenti secondo criteri di efficienza ed economicità, alla stregua di un normale operatore privato. Quindi - al di là delle enunciazioni - si deve concludere che l’elemento distintivo tra i settori ordinari e speciali non sia la presenza pubblica (che riceve un trattamento differente) bensì la tipologia di attività svolta. Di conseguenza è logico concludere che, per il legislatore, a rilevare sia proprio il carattere chiuso dei mercati e la circostanza che la protezione che da ciò deriva, depotenzia la capacità di operare secondo le leggi del mercato.</w:t>
      </w:r>
    </w:p>
    <w:p w:rsidR="00774616" w:rsidRPr="00774616" w:rsidRDefault="00774616" w:rsidP="00774616">
      <w:pPr>
        <w:jc w:val="both"/>
        <w:rPr>
          <w:rFonts w:ascii="Times New Roman" w:hAnsi="Times New Roman" w:cs="Times New Roman"/>
          <w:sz w:val="28"/>
          <w:szCs w:val="28"/>
        </w:rPr>
      </w:pPr>
      <w:r w:rsidRPr="00774616">
        <w:rPr>
          <w:rFonts w:ascii="Times New Roman" w:hAnsi="Times New Roman" w:cs="Times New Roman"/>
          <w:sz w:val="28"/>
          <w:szCs w:val="28"/>
        </w:rPr>
        <w:t>A conferma di questa conclusione milita il fatto che addirittura la normativa (cfr. art. 114 comma 2) impone la disciplina vincolistica anche alle attività dei soggetti privati che operano in un ambiente “protetto” in forza di diritti esclusivi “concessi dall’alto”: evidentemente il legislatore ritiene che gli stessi (forti dei finanziamenti, spesso ingenti, e della protezione del mercato) non avrebbero la spinta imprenditoriale a selezionare le migliori condizioni di fornitura</w:t>
      </w:r>
    </w:p>
    <w:p w:rsidR="00774616" w:rsidRPr="00774616" w:rsidRDefault="00774616" w:rsidP="00774616">
      <w:pPr>
        <w:jc w:val="both"/>
        <w:rPr>
          <w:rFonts w:ascii="Times New Roman" w:hAnsi="Times New Roman" w:cs="Times New Roman"/>
          <w:sz w:val="28"/>
          <w:szCs w:val="28"/>
        </w:rPr>
      </w:pPr>
      <w:r w:rsidRPr="00774616">
        <w:rPr>
          <w:rFonts w:ascii="Times New Roman" w:hAnsi="Times New Roman" w:cs="Times New Roman"/>
          <w:sz w:val="28"/>
          <w:szCs w:val="28"/>
        </w:rPr>
        <w:t>Va osservato però che non è detto che l’operare nei settori speciali di per sé elimini il confronto concorrenziale.</w:t>
      </w:r>
    </w:p>
    <w:p w:rsidR="002406A5" w:rsidRPr="00774616" w:rsidRDefault="002406A5" w:rsidP="002406A5">
      <w:pPr>
        <w:jc w:val="both"/>
        <w:rPr>
          <w:rFonts w:ascii="Times New Roman" w:hAnsi="Times New Roman" w:cs="Times New Roman"/>
          <w:sz w:val="28"/>
          <w:szCs w:val="28"/>
        </w:rPr>
      </w:pPr>
      <w:r w:rsidRPr="00774616">
        <w:rPr>
          <w:rFonts w:ascii="Times New Roman" w:hAnsi="Times New Roman" w:cs="Times New Roman"/>
          <w:sz w:val="28"/>
          <w:szCs w:val="28"/>
        </w:rPr>
        <w:t xml:space="preserve">Infatti la concorrenza in alcuni casi può essere presente (seppur limitata) ma non esclusa essendovi altre imprese che si confrontano nello stesso mercato, oppure in altri casi vi sono Autorità </w:t>
      </w:r>
      <w:proofErr w:type="spellStart"/>
      <w:r w:rsidRPr="00774616">
        <w:rPr>
          <w:rFonts w:ascii="Times New Roman" w:hAnsi="Times New Roman" w:cs="Times New Roman"/>
          <w:sz w:val="28"/>
          <w:szCs w:val="28"/>
        </w:rPr>
        <w:t>regolatorie</w:t>
      </w:r>
      <w:proofErr w:type="spellEnd"/>
      <w:r w:rsidRPr="00774616">
        <w:rPr>
          <w:rFonts w:ascii="Times New Roman" w:hAnsi="Times New Roman" w:cs="Times New Roman"/>
          <w:sz w:val="28"/>
          <w:szCs w:val="28"/>
        </w:rPr>
        <w:t xml:space="preserve"> che fissano prezzi e tariffe, impedendo di approfittare della situazione di monopolio. Nondimeno questa è l’attuale regolazione </w:t>
      </w:r>
      <w:proofErr w:type="gramStart"/>
      <w:r w:rsidRPr="00774616">
        <w:rPr>
          <w:rFonts w:ascii="Times New Roman" w:hAnsi="Times New Roman" w:cs="Times New Roman"/>
          <w:sz w:val="28"/>
          <w:szCs w:val="28"/>
        </w:rPr>
        <w:t>e</w:t>
      </w:r>
      <w:proofErr w:type="gramEnd"/>
      <w:r w:rsidRPr="00774616">
        <w:rPr>
          <w:rFonts w:ascii="Times New Roman" w:hAnsi="Times New Roman" w:cs="Times New Roman"/>
          <w:sz w:val="28"/>
          <w:szCs w:val="28"/>
        </w:rPr>
        <w:t xml:space="preserve"> da essa si deve partire.</w:t>
      </w:r>
    </w:p>
    <w:p w:rsidR="002406A5" w:rsidRPr="00774616" w:rsidRDefault="002406A5" w:rsidP="002406A5">
      <w:pPr>
        <w:jc w:val="both"/>
        <w:rPr>
          <w:rFonts w:ascii="Times New Roman" w:hAnsi="Times New Roman" w:cs="Times New Roman"/>
          <w:sz w:val="28"/>
          <w:szCs w:val="28"/>
        </w:rPr>
      </w:pPr>
      <w:r w:rsidRPr="00774616">
        <w:rPr>
          <w:rFonts w:ascii="Times New Roman" w:hAnsi="Times New Roman" w:cs="Times New Roman"/>
          <w:sz w:val="28"/>
          <w:szCs w:val="28"/>
        </w:rPr>
        <w:t>Al riguardo si osserva che la chiusura dei mercati si manifesta secondo differenti modalità:</w:t>
      </w:r>
    </w:p>
    <w:p w:rsidR="002406A5" w:rsidRPr="00774616" w:rsidRDefault="002406A5" w:rsidP="002406A5">
      <w:pPr>
        <w:jc w:val="both"/>
        <w:rPr>
          <w:rFonts w:ascii="Times New Roman" w:hAnsi="Times New Roman" w:cs="Times New Roman"/>
          <w:sz w:val="28"/>
          <w:szCs w:val="28"/>
        </w:rPr>
      </w:pPr>
      <w:r w:rsidRPr="00774616">
        <w:rPr>
          <w:rFonts w:ascii="Times New Roman" w:hAnsi="Times New Roman" w:cs="Times New Roman"/>
          <w:sz w:val="28"/>
          <w:szCs w:val="28"/>
        </w:rPr>
        <w:t>In alcune ipotesi l’impresa opera in un regime protetto solo in relazione alla produzione di beni che vengono poi commercializzati in regime di mercato: si pensi alla produzione di energia idroelettrica che avviene in forza di una concessione di derivazione delle acque, che dunque permette di agire in quello specifico contesto in via esclusiva.</w:t>
      </w:r>
    </w:p>
    <w:p w:rsidR="002406A5" w:rsidRPr="00774616" w:rsidRDefault="002406A5" w:rsidP="002406A5">
      <w:pPr>
        <w:jc w:val="both"/>
        <w:rPr>
          <w:rFonts w:ascii="Times New Roman" w:hAnsi="Times New Roman" w:cs="Times New Roman"/>
          <w:sz w:val="28"/>
          <w:szCs w:val="28"/>
        </w:rPr>
      </w:pPr>
      <w:r w:rsidRPr="00774616">
        <w:rPr>
          <w:rFonts w:ascii="Times New Roman" w:hAnsi="Times New Roman" w:cs="Times New Roman"/>
          <w:sz w:val="28"/>
          <w:szCs w:val="28"/>
        </w:rPr>
        <w:t>Vi sono poi attività che vengono svolte nella loro totalità in un regime di privativa: si pensi alla distribuzione di energia elettrica o di gas o ai servizi di trasporto ferroviario.</w:t>
      </w:r>
    </w:p>
    <w:p w:rsidR="00EA4860" w:rsidRPr="00774616" w:rsidRDefault="002406A5" w:rsidP="002406A5">
      <w:pPr>
        <w:jc w:val="both"/>
        <w:rPr>
          <w:rFonts w:ascii="Times New Roman" w:hAnsi="Times New Roman" w:cs="Times New Roman"/>
          <w:sz w:val="28"/>
          <w:szCs w:val="28"/>
        </w:rPr>
      </w:pPr>
      <w:r w:rsidRPr="00774616">
        <w:rPr>
          <w:rFonts w:ascii="Times New Roman" w:hAnsi="Times New Roman" w:cs="Times New Roman"/>
          <w:sz w:val="28"/>
          <w:szCs w:val="28"/>
        </w:rPr>
        <w:t>Infine vi sono attività che non prevedono alcun regime di privativa si pensi alla produzione di energia elettrica con impianti eolici per le quali è sufficiente una mera autorizzazione alla produzione e la vendita è libera.</w:t>
      </w:r>
    </w:p>
    <w:p w:rsidR="002406A5" w:rsidRPr="00774616" w:rsidRDefault="002406A5" w:rsidP="002406A5">
      <w:pPr>
        <w:jc w:val="both"/>
        <w:rPr>
          <w:rFonts w:ascii="Times New Roman" w:hAnsi="Times New Roman" w:cs="Times New Roman"/>
          <w:sz w:val="28"/>
          <w:szCs w:val="28"/>
        </w:rPr>
      </w:pPr>
      <w:r w:rsidRPr="00774616">
        <w:rPr>
          <w:rFonts w:ascii="Times New Roman" w:hAnsi="Times New Roman" w:cs="Times New Roman"/>
          <w:sz w:val="28"/>
          <w:szCs w:val="28"/>
        </w:rPr>
        <w:t>Orbene si può notare come da un lato vi sia l’intervento invasivo delle autorità pubblic</w:t>
      </w:r>
      <w:r w:rsidR="00EA4860" w:rsidRPr="00774616">
        <w:rPr>
          <w:rFonts w:ascii="Times New Roman" w:hAnsi="Times New Roman" w:cs="Times New Roman"/>
          <w:sz w:val="28"/>
          <w:szCs w:val="28"/>
        </w:rPr>
        <w:t xml:space="preserve">he, e dall’altro vi sia </w:t>
      </w:r>
      <w:r w:rsidRPr="00774616">
        <w:rPr>
          <w:rFonts w:ascii="Times New Roman" w:hAnsi="Times New Roman" w:cs="Times New Roman"/>
          <w:sz w:val="28"/>
          <w:szCs w:val="28"/>
        </w:rPr>
        <w:t>la natura chiusa dei mercati di tali settori stante l’esistenza dei diritti speciali.</w:t>
      </w:r>
    </w:p>
    <w:p w:rsidR="002406A5" w:rsidRPr="00774616" w:rsidRDefault="002406A5" w:rsidP="002406A5">
      <w:pPr>
        <w:jc w:val="both"/>
        <w:rPr>
          <w:rFonts w:ascii="Times New Roman" w:hAnsi="Times New Roman" w:cs="Times New Roman"/>
          <w:sz w:val="28"/>
          <w:szCs w:val="28"/>
        </w:rPr>
      </w:pPr>
      <w:r w:rsidRPr="00774616">
        <w:rPr>
          <w:rFonts w:ascii="Times New Roman" w:hAnsi="Times New Roman" w:cs="Times New Roman"/>
          <w:sz w:val="28"/>
          <w:szCs w:val="28"/>
        </w:rPr>
        <w:t>Se riportiamo però queste conclusioni alle attività che non prevedono alcuna privativa, si osserva che nessuna delle suddette giustificazioni si presenta in concreto. I diritti esclusivi non sussistono e le potenziali interferenze delle pubbliche amministrazioni (in mancanza dei primi) non sono diverse da quelle tollerat</w:t>
      </w:r>
      <w:r w:rsidR="00C0102C" w:rsidRPr="00774616">
        <w:rPr>
          <w:rFonts w:ascii="Times New Roman" w:hAnsi="Times New Roman" w:cs="Times New Roman"/>
          <w:sz w:val="28"/>
          <w:szCs w:val="28"/>
        </w:rPr>
        <w:t>e</w:t>
      </w:r>
      <w:r w:rsidRPr="00774616">
        <w:rPr>
          <w:rFonts w:ascii="Times New Roman" w:hAnsi="Times New Roman" w:cs="Times New Roman"/>
          <w:sz w:val="28"/>
          <w:szCs w:val="28"/>
        </w:rPr>
        <w:t xml:space="preserve"> nei settori ordinari.</w:t>
      </w:r>
    </w:p>
    <w:p w:rsidR="002406A5" w:rsidRPr="00774616" w:rsidRDefault="002406A5" w:rsidP="002406A5">
      <w:pPr>
        <w:jc w:val="both"/>
        <w:rPr>
          <w:rFonts w:ascii="Times New Roman" w:hAnsi="Times New Roman" w:cs="Times New Roman"/>
          <w:sz w:val="28"/>
          <w:szCs w:val="28"/>
        </w:rPr>
      </w:pPr>
      <w:r w:rsidRPr="00774616">
        <w:rPr>
          <w:rFonts w:ascii="Times New Roman" w:hAnsi="Times New Roman" w:cs="Times New Roman"/>
          <w:sz w:val="28"/>
          <w:szCs w:val="28"/>
        </w:rPr>
        <w:t>In tal modo si crea una discrasia tra la regolazione concreta e la</w:t>
      </w:r>
      <w:r w:rsidR="00774616" w:rsidRPr="00774616">
        <w:rPr>
          <w:rFonts w:ascii="Times New Roman" w:hAnsi="Times New Roman" w:cs="Times New Roman"/>
          <w:sz w:val="28"/>
          <w:szCs w:val="28"/>
        </w:rPr>
        <w:t xml:space="preserve"> </w:t>
      </w:r>
      <w:r w:rsidRPr="00774616">
        <w:rPr>
          <w:rFonts w:ascii="Times New Roman" w:hAnsi="Times New Roman" w:cs="Times New Roman"/>
          <w:i/>
          <w:iCs/>
          <w:sz w:val="28"/>
          <w:szCs w:val="28"/>
        </w:rPr>
        <w:t>ratio</w:t>
      </w:r>
      <w:r w:rsidR="00774616" w:rsidRPr="00774616">
        <w:rPr>
          <w:rFonts w:ascii="Times New Roman" w:hAnsi="Times New Roman" w:cs="Times New Roman"/>
          <w:sz w:val="28"/>
          <w:szCs w:val="28"/>
        </w:rPr>
        <w:t xml:space="preserve"> </w:t>
      </w:r>
      <w:r w:rsidRPr="00774616">
        <w:rPr>
          <w:rFonts w:ascii="Times New Roman" w:hAnsi="Times New Roman" w:cs="Times New Roman"/>
          <w:sz w:val="28"/>
          <w:szCs w:val="28"/>
        </w:rPr>
        <w:t>che la sorregge. Discrasia che – nel caso della produzione di energia elettrica da fonte rinnovabile - non è superata dalla richiamata decisione della Commissione: questa infatti evidenzia il carattere distorsivo dato dai vantaggi concorrenziali attribuiti all’energia prodotta e commercializzata, ma tale valutazione riguarda solo l’accertamento dell’esposizione alla concorrenza, vale a dire di uno dei requisiti richiesti perché si applichi il regime derogatorio di cui all’art. 8 del Codice. Per contro nulla aggiunge in ordine alla diversità sopra evidenziata che riguarda il regime vincolistico posto a monte.</w:t>
      </w:r>
    </w:p>
    <w:p w:rsidR="00774616" w:rsidRPr="00774616" w:rsidRDefault="00774616" w:rsidP="00774616">
      <w:pPr>
        <w:jc w:val="both"/>
        <w:rPr>
          <w:rFonts w:ascii="Times New Roman" w:hAnsi="Times New Roman" w:cs="Times New Roman"/>
          <w:sz w:val="28"/>
          <w:szCs w:val="28"/>
        </w:rPr>
      </w:pPr>
      <w:r w:rsidRPr="00774616">
        <w:rPr>
          <w:rFonts w:ascii="Times New Roman" w:hAnsi="Times New Roman" w:cs="Times New Roman"/>
          <w:sz w:val="28"/>
          <w:szCs w:val="28"/>
        </w:rPr>
        <w:t xml:space="preserve">In realtà, la Direttiva prevede la possibilità di dimostrare che le attività ricadenti nei settori in questione siano ormai così direttamente esposte alla concorrenza su mercati liberamente accessibili da non rendere necessaria l’applicazione della normativa sui contratti pubblici. Tale verifica è svolta nell’ambito di uno specifico procedimento attivato dallo Stato membro che si conclude con un provvedimento della Commissione (che può intervenire anche per silenzio-assenso) avente carattere costitutivo. Il perimetro applicativo della disciplina dei settori speciali viene costruito non </w:t>
      </w:r>
      <w:proofErr w:type="spellStart"/>
      <w:r w:rsidRPr="00774616">
        <w:rPr>
          <w:rFonts w:ascii="Times New Roman" w:hAnsi="Times New Roman" w:cs="Times New Roman"/>
          <w:sz w:val="28"/>
          <w:szCs w:val="28"/>
        </w:rPr>
        <w:t>ratione</w:t>
      </w:r>
      <w:proofErr w:type="spellEnd"/>
      <w:r w:rsidRPr="00774616">
        <w:rPr>
          <w:rFonts w:ascii="Times New Roman" w:hAnsi="Times New Roman" w:cs="Times New Roman"/>
          <w:sz w:val="28"/>
          <w:szCs w:val="28"/>
        </w:rPr>
        <w:t xml:space="preserve"> </w:t>
      </w:r>
      <w:proofErr w:type="spellStart"/>
      <w:r w:rsidRPr="00774616">
        <w:rPr>
          <w:rFonts w:ascii="Times New Roman" w:hAnsi="Times New Roman" w:cs="Times New Roman"/>
          <w:sz w:val="28"/>
          <w:szCs w:val="28"/>
        </w:rPr>
        <w:t>personae</w:t>
      </w:r>
      <w:proofErr w:type="spellEnd"/>
      <w:r w:rsidRPr="00774616">
        <w:rPr>
          <w:rFonts w:ascii="Times New Roman" w:hAnsi="Times New Roman" w:cs="Times New Roman"/>
          <w:sz w:val="28"/>
          <w:szCs w:val="28"/>
        </w:rPr>
        <w:t xml:space="preserve">, come quella generale, ma </w:t>
      </w:r>
      <w:proofErr w:type="spellStart"/>
      <w:r w:rsidRPr="00774616">
        <w:rPr>
          <w:rFonts w:ascii="Times New Roman" w:hAnsi="Times New Roman" w:cs="Times New Roman"/>
          <w:sz w:val="28"/>
          <w:szCs w:val="28"/>
        </w:rPr>
        <w:t>ratione</w:t>
      </w:r>
      <w:proofErr w:type="spellEnd"/>
      <w:r w:rsidRPr="00774616">
        <w:rPr>
          <w:rFonts w:ascii="Times New Roman" w:hAnsi="Times New Roman" w:cs="Times New Roman"/>
          <w:sz w:val="28"/>
          <w:szCs w:val="28"/>
        </w:rPr>
        <w:t xml:space="preserve"> </w:t>
      </w:r>
      <w:proofErr w:type="spellStart"/>
      <w:r w:rsidRPr="00774616">
        <w:rPr>
          <w:rFonts w:ascii="Times New Roman" w:hAnsi="Times New Roman" w:cs="Times New Roman"/>
          <w:sz w:val="28"/>
          <w:szCs w:val="28"/>
        </w:rPr>
        <w:t>materiae</w:t>
      </w:r>
      <w:proofErr w:type="spellEnd"/>
      <w:r w:rsidRPr="00774616">
        <w:rPr>
          <w:rFonts w:ascii="Times New Roman" w:hAnsi="Times New Roman" w:cs="Times New Roman"/>
          <w:sz w:val="28"/>
          <w:szCs w:val="28"/>
        </w:rPr>
        <w:t xml:space="preserve">. Le due figure soggettive vengono generalmente rappresentate in termini alternativi enfatizzando l’elemento scriminante che sarebbe costituito dall’imprenditorialità dell’azione nell’impresa pubblica, a differenza dell’organismo di diritto pubblico che agisce per il perseguimento necessario di finalità pubblicistiche e senza rischio d’impresa. </w:t>
      </w:r>
    </w:p>
    <w:p w:rsidR="00810332" w:rsidRDefault="00544BEB" w:rsidP="002629BF">
      <w:pPr>
        <w:jc w:val="both"/>
        <w:rPr>
          <w:rFonts w:ascii="Times New Roman" w:hAnsi="Times New Roman" w:cs="Times New Roman"/>
          <w:sz w:val="28"/>
          <w:szCs w:val="28"/>
        </w:rPr>
      </w:pPr>
      <w:r w:rsidRPr="00742BF6">
        <w:rPr>
          <w:rFonts w:ascii="Times New Roman" w:hAnsi="Times New Roman" w:cs="Times New Roman"/>
          <w:sz w:val="28"/>
          <w:szCs w:val="28"/>
        </w:rPr>
        <w:t>Il codice del 2016 conteneva una disposizione nell’</w:t>
      </w:r>
      <w:r w:rsidR="0017201E" w:rsidRPr="00742BF6">
        <w:rPr>
          <w:rFonts w:ascii="Times New Roman" w:hAnsi="Times New Roman" w:cs="Times New Roman"/>
          <w:sz w:val="28"/>
          <w:szCs w:val="28"/>
        </w:rPr>
        <w:t xml:space="preserve">art. 114, co. 4, </w:t>
      </w:r>
      <w:r w:rsidRPr="00742BF6">
        <w:rPr>
          <w:rFonts w:ascii="Times New Roman" w:hAnsi="Times New Roman" w:cs="Times New Roman"/>
          <w:sz w:val="28"/>
          <w:szCs w:val="28"/>
        </w:rPr>
        <w:t>che esonerava dall’applicazione della disciplina dei settori speciali quelle imprese che avessero acquisito i “diritti speciali o esclusivi” sulla base di una procedura di evidenza pubblica (questo dava luogo a disparità con le imprese pubbliche che si trovavano sottoposte alle norme del codice anche se avessero acquisito la propria posizione sulla base di una procedura selettiva di evidenza pubblica, nonostante il divieto di discriminazione</w:t>
      </w:r>
      <w:r w:rsidR="0017201E" w:rsidRPr="00742BF6">
        <w:rPr>
          <w:rFonts w:ascii="Times New Roman" w:hAnsi="Times New Roman" w:cs="Times New Roman"/>
          <w:sz w:val="28"/>
          <w:szCs w:val="28"/>
        </w:rPr>
        <w:t xml:space="preserve"> tra pubblico e privato</w:t>
      </w:r>
      <w:r w:rsidRPr="00742BF6">
        <w:rPr>
          <w:rFonts w:ascii="Times New Roman" w:hAnsi="Times New Roman" w:cs="Times New Roman"/>
          <w:sz w:val="28"/>
          <w:szCs w:val="28"/>
        </w:rPr>
        <w:t xml:space="preserve">). Tale disposizione non pare replicata nel nuovo codice </w:t>
      </w:r>
      <w:proofErr w:type="spellStart"/>
      <w:r w:rsidRPr="00742BF6">
        <w:rPr>
          <w:rFonts w:ascii="Times New Roman" w:hAnsi="Times New Roman" w:cs="Times New Roman"/>
          <w:sz w:val="28"/>
          <w:szCs w:val="28"/>
        </w:rPr>
        <w:t>sicchè</w:t>
      </w:r>
      <w:proofErr w:type="spellEnd"/>
      <w:r w:rsidRPr="00742BF6">
        <w:rPr>
          <w:rFonts w:ascii="Times New Roman" w:hAnsi="Times New Roman" w:cs="Times New Roman"/>
          <w:sz w:val="28"/>
          <w:szCs w:val="28"/>
        </w:rPr>
        <w:t xml:space="preserve"> </w:t>
      </w:r>
      <w:r w:rsidR="0017201E" w:rsidRPr="00742BF6">
        <w:rPr>
          <w:rFonts w:ascii="Times New Roman" w:hAnsi="Times New Roman" w:cs="Times New Roman"/>
          <w:sz w:val="28"/>
          <w:szCs w:val="28"/>
        </w:rPr>
        <w:t>anche nel caso in cui i diritti speciali o es</w:t>
      </w:r>
      <w:r w:rsidR="004C306F" w:rsidRPr="00742BF6">
        <w:rPr>
          <w:rFonts w:ascii="Times New Roman" w:hAnsi="Times New Roman" w:cs="Times New Roman"/>
          <w:sz w:val="28"/>
          <w:szCs w:val="28"/>
        </w:rPr>
        <w:t>c</w:t>
      </w:r>
      <w:r w:rsidR="0017201E" w:rsidRPr="00742BF6">
        <w:rPr>
          <w:rFonts w:ascii="Times New Roman" w:hAnsi="Times New Roman" w:cs="Times New Roman"/>
          <w:sz w:val="28"/>
          <w:szCs w:val="28"/>
        </w:rPr>
        <w:t>lusivi siano attribuiti con una</w:t>
      </w:r>
      <w:r w:rsidR="00EA4860">
        <w:rPr>
          <w:rFonts w:ascii="Times New Roman" w:hAnsi="Times New Roman" w:cs="Times New Roman"/>
          <w:sz w:val="28"/>
          <w:szCs w:val="28"/>
        </w:rPr>
        <w:t xml:space="preserve"> procedura di evidenza pubblica.</w:t>
      </w:r>
    </w:p>
    <w:p w:rsidR="004C7703" w:rsidRDefault="004C7703" w:rsidP="002629BF">
      <w:pPr>
        <w:jc w:val="both"/>
        <w:rPr>
          <w:rFonts w:ascii="Times New Roman" w:hAnsi="Times New Roman" w:cs="Times New Roman"/>
          <w:sz w:val="28"/>
          <w:szCs w:val="28"/>
        </w:rPr>
      </w:pPr>
    </w:p>
    <w:p w:rsidR="004C7703" w:rsidRPr="004C7703" w:rsidRDefault="004C7703" w:rsidP="004C7703">
      <w:pPr>
        <w:jc w:val="both"/>
        <w:rPr>
          <w:rFonts w:ascii="Times New Roman" w:hAnsi="Times New Roman" w:cs="Times New Roman"/>
          <w:b/>
          <w:sz w:val="28"/>
          <w:szCs w:val="28"/>
        </w:rPr>
      </w:pPr>
      <w:r w:rsidRPr="004C7703">
        <w:rPr>
          <w:rFonts w:ascii="Times New Roman" w:hAnsi="Times New Roman" w:cs="Times New Roman"/>
          <w:b/>
          <w:sz w:val="28"/>
          <w:szCs w:val="28"/>
        </w:rPr>
        <w:t xml:space="preserve">Ambito di applicazione </w:t>
      </w:r>
    </w:p>
    <w:p w:rsidR="004C7703" w:rsidRPr="004C7703" w:rsidRDefault="004C7703" w:rsidP="004C7703">
      <w:pPr>
        <w:jc w:val="both"/>
        <w:rPr>
          <w:rFonts w:ascii="Times New Roman" w:hAnsi="Times New Roman" w:cs="Times New Roman"/>
          <w:sz w:val="28"/>
          <w:szCs w:val="28"/>
        </w:rPr>
      </w:pPr>
      <w:r w:rsidRPr="004C7703">
        <w:rPr>
          <w:rFonts w:ascii="Times New Roman" w:hAnsi="Times New Roman" w:cs="Times New Roman"/>
          <w:sz w:val="28"/>
          <w:szCs w:val="28"/>
        </w:rPr>
        <w:t>Per l'assoggettabilità o meno di un contratto alla disciplina dei settori speciali non è sufficiente utilizzare il criterio soggettivo, ma occorre tener conto anche di un profilo oggettivo, vale a dire la finalità del contratto da affidare.</w:t>
      </w:r>
    </w:p>
    <w:p w:rsidR="004C7703" w:rsidRPr="004C7703" w:rsidRDefault="004C7703" w:rsidP="004C7703">
      <w:pPr>
        <w:jc w:val="both"/>
        <w:rPr>
          <w:rFonts w:ascii="Times New Roman" w:hAnsi="Times New Roman" w:cs="Times New Roman"/>
          <w:sz w:val="28"/>
          <w:szCs w:val="28"/>
        </w:rPr>
      </w:pPr>
      <w:r w:rsidRPr="004C7703">
        <w:rPr>
          <w:rFonts w:ascii="Times New Roman" w:hAnsi="Times New Roman" w:cs="Times New Roman"/>
          <w:sz w:val="28"/>
          <w:szCs w:val="28"/>
        </w:rPr>
        <w:t>Tuttavia, se il contratto in discorso non rientri ovvero non sia legato all'attività principale svolta dalla società pubblica che è "ente aggiudicatore", non si può tout court ritenere che lo stesso sia completamente escluso dall'ambito di applicazione del Codice dei Contratti ovvero, in generale, della disciplina comunitaria dell'evidenza pubblica.</w:t>
      </w:r>
    </w:p>
    <w:p w:rsidR="004C7703" w:rsidRPr="004C7703" w:rsidRDefault="004C7703" w:rsidP="004C7703">
      <w:pPr>
        <w:jc w:val="both"/>
        <w:rPr>
          <w:rFonts w:ascii="Times New Roman" w:hAnsi="Times New Roman" w:cs="Times New Roman"/>
          <w:sz w:val="28"/>
          <w:szCs w:val="28"/>
        </w:rPr>
      </w:pPr>
      <w:r w:rsidRPr="004C7703">
        <w:rPr>
          <w:rFonts w:ascii="Times New Roman" w:hAnsi="Times New Roman" w:cs="Times New Roman"/>
          <w:sz w:val="28"/>
          <w:szCs w:val="28"/>
        </w:rPr>
        <w:t>In effetti, quando la società pubblica è anche un "organismo di diritto pubblico" e dunque rientra nella categoria delle "amministrazioni aggiudicatrici", non sembrano esservi dubbi nell'ammettere che, per i suoi appalti, sebbene estranei ai settori speciali, trovi applicazione la disciplina dei settori ordinari.</w:t>
      </w:r>
    </w:p>
    <w:p w:rsidR="004C7703" w:rsidRPr="004C7703" w:rsidRDefault="004C7703" w:rsidP="004C7703">
      <w:pPr>
        <w:jc w:val="both"/>
        <w:rPr>
          <w:rFonts w:ascii="Times New Roman" w:hAnsi="Times New Roman" w:cs="Times New Roman"/>
          <w:sz w:val="28"/>
          <w:szCs w:val="28"/>
        </w:rPr>
      </w:pPr>
      <w:r w:rsidRPr="004C7703">
        <w:rPr>
          <w:rFonts w:ascii="Times New Roman" w:hAnsi="Times New Roman" w:cs="Times New Roman"/>
          <w:sz w:val="28"/>
          <w:szCs w:val="28"/>
        </w:rPr>
        <w:t>La questione si pone, invece, per gli appalti affidati da società pubbliche che sono "enti aggiudicatori" in quanto "imprese pubbliche" nei settori speciali, ma che non rientrano nella categoria delle "amministrazioni aggiudicatrici".</w:t>
      </w:r>
    </w:p>
    <w:p w:rsidR="004C7703" w:rsidRPr="004C7703" w:rsidRDefault="004C7703" w:rsidP="004C7703">
      <w:pPr>
        <w:jc w:val="both"/>
        <w:rPr>
          <w:rFonts w:ascii="Times New Roman" w:hAnsi="Times New Roman" w:cs="Times New Roman"/>
          <w:sz w:val="28"/>
          <w:szCs w:val="28"/>
        </w:rPr>
      </w:pPr>
      <w:r w:rsidRPr="004C7703">
        <w:rPr>
          <w:rFonts w:ascii="Times New Roman" w:hAnsi="Times New Roman" w:cs="Times New Roman"/>
          <w:sz w:val="28"/>
          <w:szCs w:val="28"/>
        </w:rPr>
        <w:t>Il principale elemento di differenziazione tra gli organismi di diritto pubblico e le  imprese pubbliche, affrontato peraltro nella sentenza della Corte di Giustizia 15 maggio 2003, C-214/2000, Commissione C. Regno di Spagna, risiede nel fatto che mentre i primi operano per il perseguimento di bisogni di carattere generale, secondo logiche che esulano da quelle del mercato, le seconde, invece, agiscono tramite l’offerta sul mercato dei propri beni e servizi, con conseguente assunzione del rischio economico connesso all’esercizio dell’attività.</w:t>
      </w:r>
    </w:p>
    <w:p w:rsidR="004C7703" w:rsidRPr="004C7703" w:rsidRDefault="004C7703" w:rsidP="004C7703">
      <w:pPr>
        <w:jc w:val="both"/>
        <w:rPr>
          <w:rFonts w:ascii="Times New Roman" w:hAnsi="Times New Roman" w:cs="Times New Roman"/>
          <w:sz w:val="28"/>
          <w:szCs w:val="28"/>
        </w:rPr>
      </w:pPr>
      <w:r w:rsidRPr="004C7703">
        <w:rPr>
          <w:rFonts w:ascii="Times New Roman" w:hAnsi="Times New Roman" w:cs="Times New Roman"/>
          <w:sz w:val="28"/>
          <w:szCs w:val="28"/>
        </w:rPr>
        <w:t>L’impresa pubblica è esposta alla concorrenza, gestisce servizi rinunciabili per l’ente di riferimento e può subire delle perdite commerciali, mentre l’organismo di diritto pubblico è caratterizzato dalla mancata esposizione alla concorrenza, dall’irrinunciabilità del servizio e dal conseguente obbligo di ripianamento in caso di perdite da parte dell’ente di riferimento.</w:t>
      </w:r>
    </w:p>
    <w:p w:rsidR="004C7703" w:rsidRPr="004C7703" w:rsidRDefault="004C7703" w:rsidP="004C7703">
      <w:pPr>
        <w:jc w:val="both"/>
        <w:rPr>
          <w:rFonts w:ascii="Times New Roman" w:hAnsi="Times New Roman" w:cs="Times New Roman"/>
          <w:sz w:val="28"/>
          <w:szCs w:val="28"/>
        </w:rPr>
      </w:pPr>
      <w:r w:rsidRPr="004C7703">
        <w:rPr>
          <w:rFonts w:ascii="Times New Roman" w:hAnsi="Times New Roman" w:cs="Times New Roman"/>
          <w:sz w:val="28"/>
          <w:szCs w:val="28"/>
        </w:rPr>
        <w:t xml:space="preserve">In realtà, le due figure non si basano su criteri identificativi omogenei in modo che si possa concludere che l’integrazione dell’una escluda l’altra. A tal riguardo, come si è visto, l’organismo di diritto pubblico viene individuato sia facendo riferimento all’elemento organizzativo-relazionale con l’ente pubblico (influenza pubblica) </w:t>
      </w:r>
      <w:proofErr w:type="spellStart"/>
      <w:r w:rsidRPr="004C7703">
        <w:rPr>
          <w:rFonts w:ascii="Times New Roman" w:hAnsi="Times New Roman" w:cs="Times New Roman"/>
          <w:sz w:val="28"/>
          <w:szCs w:val="28"/>
        </w:rPr>
        <w:t>siafacendo</w:t>
      </w:r>
      <w:proofErr w:type="spellEnd"/>
      <w:r w:rsidRPr="004C7703">
        <w:rPr>
          <w:rFonts w:ascii="Times New Roman" w:hAnsi="Times New Roman" w:cs="Times New Roman"/>
          <w:sz w:val="28"/>
          <w:szCs w:val="28"/>
        </w:rPr>
        <w:t xml:space="preserve"> riferimento all’elemento teleologico (esigenze di interesse generale, aventi carattere non industriale o commerciale). L’impresa pubblica viene individuata invece sulla base del solo elemento organizzativo-relazionale rispetto all’ente pubblico (30).</w:t>
      </w:r>
    </w:p>
    <w:p w:rsidR="004C7703" w:rsidRPr="004C7703" w:rsidRDefault="004C7703" w:rsidP="004C7703">
      <w:pPr>
        <w:jc w:val="both"/>
        <w:rPr>
          <w:rFonts w:ascii="Times New Roman" w:hAnsi="Times New Roman" w:cs="Times New Roman"/>
          <w:sz w:val="28"/>
          <w:szCs w:val="28"/>
        </w:rPr>
      </w:pPr>
      <w:r w:rsidRPr="004C7703">
        <w:rPr>
          <w:rFonts w:ascii="Times New Roman" w:hAnsi="Times New Roman" w:cs="Times New Roman"/>
          <w:sz w:val="28"/>
          <w:szCs w:val="28"/>
        </w:rPr>
        <w:t>Ne consegue che uno stesso soggetto può integrare contestualmente gli estremi dell’organismo di diritto pubblico e quelli dell’impresa pubblica.</w:t>
      </w:r>
    </w:p>
    <w:p w:rsidR="00810332" w:rsidRDefault="00810332" w:rsidP="002629BF">
      <w:pPr>
        <w:jc w:val="both"/>
        <w:rPr>
          <w:rFonts w:ascii="Times New Roman" w:hAnsi="Times New Roman" w:cs="Times New Roman"/>
          <w:b/>
          <w:sz w:val="28"/>
          <w:szCs w:val="28"/>
        </w:rPr>
      </w:pPr>
    </w:p>
    <w:p w:rsidR="002629BF" w:rsidRDefault="00D20288" w:rsidP="002629BF">
      <w:pPr>
        <w:jc w:val="both"/>
        <w:rPr>
          <w:rFonts w:ascii="Times New Roman" w:hAnsi="Times New Roman" w:cs="Times New Roman"/>
          <w:b/>
          <w:sz w:val="28"/>
          <w:szCs w:val="28"/>
        </w:rPr>
      </w:pPr>
      <w:r>
        <w:rPr>
          <w:rFonts w:ascii="Times New Roman" w:hAnsi="Times New Roman" w:cs="Times New Roman"/>
          <w:b/>
          <w:sz w:val="28"/>
          <w:szCs w:val="28"/>
        </w:rPr>
        <w:t>Le linee della nuova disciplina</w:t>
      </w:r>
    </w:p>
    <w:p w:rsidR="002629BF" w:rsidRPr="00304864" w:rsidRDefault="00304864" w:rsidP="002629BF">
      <w:pPr>
        <w:jc w:val="both"/>
        <w:rPr>
          <w:rFonts w:ascii="Times New Roman" w:hAnsi="Times New Roman" w:cs="Times New Roman"/>
          <w:sz w:val="28"/>
          <w:szCs w:val="28"/>
        </w:rPr>
      </w:pPr>
      <w:r w:rsidRPr="00304864">
        <w:rPr>
          <w:rFonts w:ascii="Times New Roman" w:hAnsi="Times New Roman" w:cs="Times New Roman"/>
          <w:sz w:val="28"/>
          <w:szCs w:val="28"/>
        </w:rPr>
        <w:t xml:space="preserve">Con la </w:t>
      </w:r>
      <w:r w:rsidR="002629BF" w:rsidRPr="00304864">
        <w:rPr>
          <w:rFonts w:ascii="Times New Roman" w:hAnsi="Times New Roman" w:cs="Times New Roman"/>
          <w:sz w:val="28"/>
          <w:szCs w:val="28"/>
        </w:rPr>
        <w:t xml:space="preserve">riforma della disciplina in tema di contratti pubblici - avviata con la legge delega (78/2022) e sviluppata con lo Schema Preliminare trasmesso al Governo da parte del Consiglio di Stato </w:t>
      </w:r>
      <w:r w:rsidRPr="00304864">
        <w:rPr>
          <w:rFonts w:ascii="Times New Roman" w:hAnsi="Times New Roman" w:cs="Times New Roman"/>
          <w:sz w:val="28"/>
          <w:szCs w:val="28"/>
        </w:rPr>
        <w:t xml:space="preserve">si è riproposto </w:t>
      </w:r>
      <w:r w:rsidR="002629BF" w:rsidRPr="00304864">
        <w:rPr>
          <w:rFonts w:ascii="Times New Roman" w:hAnsi="Times New Roman" w:cs="Times New Roman"/>
          <w:sz w:val="28"/>
          <w:szCs w:val="28"/>
        </w:rPr>
        <w:t>il tema della definizione dei vincoli all’attività negoziale delle imprese pub</w:t>
      </w:r>
      <w:r w:rsidR="00A27D96" w:rsidRPr="00304864">
        <w:rPr>
          <w:rFonts w:ascii="Times New Roman" w:hAnsi="Times New Roman" w:cs="Times New Roman"/>
          <w:sz w:val="28"/>
          <w:szCs w:val="28"/>
        </w:rPr>
        <w:t xml:space="preserve">bliche operanti nell’ambito dei </w:t>
      </w:r>
      <w:r w:rsidR="002629BF" w:rsidRPr="00304864">
        <w:rPr>
          <w:rFonts w:ascii="Times New Roman" w:hAnsi="Times New Roman" w:cs="Times New Roman"/>
          <w:sz w:val="28"/>
          <w:szCs w:val="28"/>
        </w:rPr>
        <w:t>settori</w:t>
      </w:r>
      <w:r w:rsidR="00A27D96" w:rsidRPr="00304864">
        <w:rPr>
          <w:rFonts w:ascii="Times New Roman" w:hAnsi="Times New Roman" w:cs="Times New Roman"/>
          <w:sz w:val="28"/>
          <w:szCs w:val="28"/>
        </w:rPr>
        <w:t xml:space="preserve"> </w:t>
      </w:r>
      <w:r w:rsidRPr="00304864">
        <w:rPr>
          <w:rFonts w:ascii="Times New Roman" w:hAnsi="Times New Roman" w:cs="Times New Roman"/>
          <w:sz w:val="28"/>
          <w:szCs w:val="28"/>
        </w:rPr>
        <w:t xml:space="preserve">di pubblica utilità. Si ripropone la </w:t>
      </w:r>
      <w:r w:rsidR="002629BF" w:rsidRPr="00304864">
        <w:rPr>
          <w:rFonts w:ascii="Times New Roman" w:hAnsi="Times New Roman" w:cs="Times New Roman"/>
          <w:sz w:val="28"/>
          <w:szCs w:val="28"/>
        </w:rPr>
        <w:t>necessità di assicurare le condizioni per un corretto sviluppo delle dinamiche concorrenziali nel rispetto delle caratteristiche dei soggetti operanti in detti</w:t>
      </w:r>
      <w:r w:rsidR="00A27D96" w:rsidRPr="00304864">
        <w:rPr>
          <w:rFonts w:ascii="Times New Roman" w:hAnsi="Times New Roman" w:cs="Times New Roman"/>
          <w:sz w:val="28"/>
          <w:szCs w:val="28"/>
        </w:rPr>
        <w:t xml:space="preserve"> </w:t>
      </w:r>
      <w:r w:rsidR="002629BF" w:rsidRPr="00304864">
        <w:rPr>
          <w:rFonts w:ascii="Times New Roman" w:hAnsi="Times New Roman" w:cs="Times New Roman"/>
          <w:sz w:val="28"/>
          <w:szCs w:val="28"/>
        </w:rPr>
        <w:t>settori, spesso organizzati secondo moduli privatistici ed in molti casi emittenti di titoli azionari o obbligazionari sul mercato mobiliare.</w:t>
      </w:r>
    </w:p>
    <w:p w:rsidR="002629BF" w:rsidRPr="00304864" w:rsidRDefault="002629BF" w:rsidP="002629BF">
      <w:pPr>
        <w:jc w:val="both"/>
        <w:rPr>
          <w:rFonts w:ascii="Times New Roman" w:hAnsi="Times New Roman" w:cs="Times New Roman"/>
          <w:sz w:val="28"/>
          <w:szCs w:val="28"/>
        </w:rPr>
      </w:pPr>
      <w:r w:rsidRPr="00304864">
        <w:rPr>
          <w:rFonts w:ascii="Times New Roman" w:hAnsi="Times New Roman" w:cs="Times New Roman"/>
          <w:sz w:val="28"/>
          <w:szCs w:val="28"/>
        </w:rPr>
        <w:t>Caratteristiche, queste, che impongono il riconoscimento di adeguati livelli di flessibilità nelle fasi di programmazione, di scelta del contraente e di gestione della fase esecutiva, essenziali per un efficace conseguimento degli obiettivi di qualità dei servizi erogati ai cittadini. Ed era proprio questo, infatti, l’obiettivo perseguito dall’Unione europea nell’introdurre, per gli enti operanti nei summenzionati settori (non a caso, qualificati come settori speciali), una disciplina differenziata (e caratterizzata da una maggiore flessibilità) rispetto a quella prevista in termini generali per l’acquisizione di lavori, beni e servizi da parte di pubbliche amministrazioni.</w:t>
      </w:r>
    </w:p>
    <w:p w:rsidR="002629BF" w:rsidRPr="00304864" w:rsidRDefault="002629BF" w:rsidP="002629BF">
      <w:pPr>
        <w:jc w:val="both"/>
        <w:rPr>
          <w:rFonts w:ascii="Times New Roman" w:hAnsi="Times New Roman" w:cs="Times New Roman"/>
          <w:sz w:val="28"/>
          <w:szCs w:val="28"/>
        </w:rPr>
      </w:pPr>
      <w:r w:rsidRPr="00304864">
        <w:rPr>
          <w:rFonts w:ascii="Times New Roman" w:hAnsi="Times New Roman" w:cs="Times New Roman"/>
          <w:sz w:val="28"/>
          <w:szCs w:val="28"/>
        </w:rPr>
        <w:t>È innegabile, tuttavia, che nel corso degli anni, i profili di differenziazione tra le due discipline si siano andati attenuando, sotto l’impulso di scelte che - pur muovendo da presupposti diversi - hanno però prodotto l’effetto convergente di un avvicinamento tra le due normative.</w:t>
      </w:r>
    </w:p>
    <w:p w:rsidR="002629BF" w:rsidRPr="00304864" w:rsidRDefault="002629BF" w:rsidP="002629BF">
      <w:pPr>
        <w:jc w:val="both"/>
        <w:rPr>
          <w:rFonts w:ascii="Times New Roman" w:hAnsi="Times New Roman" w:cs="Times New Roman"/>
          <w:sz w:val="28"/>
          <w:szCs w:val="28"/>
        </w:rPr>
      </w:pPr>
      <w:r w:rsidRPr="00304864">
        <w:rPr>
          <w:rFonts w:ascii="Times New Roman" w:hAnsi="Times New Roman" w:cs="Times New Roman"/>
          <w:sz w:val="28"/>
          <w:szCs w:val="28"/>
        </w:rPr>
        <w:t>Se, infatti, a livello europeo, l’obiettivo di semplificazione e snellimento delle procedure ha fatto sì che istituti inizialmente previsti solo per i</w:t>
      </w:r>
      <w:r w:rsidR="00D20288">
        <w:rPr>
          <w:rFonts w:ascii="Times New Roman" w:hAnsi="Times New Roman" w:cs="Times New Roman"/>
          <w:sz w:val="28"/>
          <w:szCs w:val="28"/>
        </w:rPr>
        <w:t xml:space="preserve"> </w:t>
      </w:r>
      <w:r w:rsidRPr="00304864">
        <w:rPr>
          <w:rFonts w:ascii="Times New Roman" w:hAnsi="Times New Roman" w:cs="Times New Roman"/>
          <w:sz w:val="28"/>
          <w:szCs w:val="28"/>
        </w:rPr>
        <w:t>settori</w:t>
      </w:r>
      <w:r w:rsidR="00D20288">
        <w:rPr>
          <w:rFonts w:ascii="Times New Roman" w:hAnsi="Times New Roman" w:cs="Times New Roman"/>
          <w:sz w:val="28"/>
          <w:szCs w:val="28"/>
        </w:rPr>
        <w:t xml:space="preserve"> </w:t>
      </w:r>
      <w:r w:rsidRPr="00304864">
        <w:rPr>
          <w:rFonts w:ascii="Times New Roman" w:hAnsi="Times New Roman" w:cs="Times New Roman"/>
          <w:sz w:val="28"/>
          <w:szCs w:val="28"/>
        </w:rPr>
        <w:t>speciali</w:t>
      </w:r>
      <w:r w:rsidR="00D20288">
        <w:rPr>
          <w:rFonts w:ascii="Times New Roman" w:hAnsi="Times New Roman" w:cs="Times New Roman"/>
          <w:sz w:val="28"/>
          <w:szCs w:val="28"/>
        </w:rPr>
        <w:t xml:space="preserve"> </w:t>
      </w:r>
      <w:r w:rsidRPr="00304864">
        <w:rPr>
          <w:rFonts w:ascii="Times New Roman" w:hAnsi="Times New Roman" w:cs="Times New Roman"/>
          <w:sz w:val="28"/>
          <w:szCs w:val="28"/>
        </w:rPr>
        <w:t>fossero riproposti anche nella disciplina generale; in sede nazionale, invece, è, in taluni casi, prevalsa la tentazione di estendere ai settori speciali disposizioni e vincoli concepiti essenzialmente per i settori ordinari con conseguente limitazione dei loro ambiti di flessibilità operativa.</w:t>
      </w:r>
    </w:p>
    <w:p w:rsidR="002629BF" w:rsidRPr="00304864" w:rsidRDefault="002629BF" w:rsidP="002629BF">
      <w:pPr>
        <w:jc w:val="both"/>
        <w:rPr>
          <w:rFonts w:ascii="Times New Roman" w:hAnsi="Times New Roman" w:cs="Times New Roman"/>
          <w:sz w:val="28"/>
          <w:szCs w:val="28"/>
        </w:rPr>
      </w:pPr>
      <w:r w:rsidRPr="00304864">
        <w:rPr>
          <w:rFonts w:ascii="Times New Roman" w:hAnsi="Times New Roman" w:cs="Times New Roman"/>
          <w:sz w:val="28"/>
          <w:szCs w:val="28"/>
        </w:rPr>
        <w:t xml:space="preserve">L’esperienza del Codice del 2016 è risultata sotto più profili contraddittoria per molteplici ragioni. Sul piano generale, si sono determinati effetti opposti rispetto alla dichiarata volontà di semplificazione normativa e procedurale: la centralità delle esigenze di tutela della concorrenza tra operatori ha determinato nei fatti una </w:t>
      </w:r>
      <w:proofErr w:type="spellStart"/>
      <w:r w:rsidRPr="00304864">
        <w:rPr>
          <w:rFonts w:ascii="Times New Roman" w:hAnsi="Times New Roman" w:cs="Times New Roman"/>
          <w:sz w:val="28"/>
          <w:szCs w:val="28"/>
        </w:rPr>
        <w:t>iper</w:t>
      </w:r>
      <w:proofErr w:type="spellEnd"/>
      <w:r w:rsidRPr="00304864">
        <w:rPr>
          <w:rFonts w:ascii="Times New Roman" w:hAnsi="Times New Roman" w:cs="Times New Roman"/>
          <w:sz w:val="28"/>
          <w:szCs w:val="28"/>
        </w:rPr>
        <w:t>-regolazione del procedimento di gara in tutte le sue articolazioni; l’esigenza di limitare il rischio di contenzioso, considerato indirettamente un vincolo allo sviluppo economico, ha, nel corso degli anni, portato a tradurre in norma soluzioni adottate dalla giurisprudenza per risolvere casi concreti, con l’effetto di complicare ulteriormente lo </w:t>
      </w:r>
      <w:r w:rsidRPr="00304864">
        <w:rPr>
          <w:rFonts w:ascii="Times New Roman" w:hAnsi="Times New Roman" w:cs="Times New Roman"/>
          <w:i/>
          <w:iCs/>
          <w:sz w:val="28"/>
          <w:szCs w:val="28"/>
        </w:rPr>
        <w:t>stock</w:t>
      </w:r>
      <w:r w:rsidRPr="00304864">
        <w:rPr>
          <w:rFonts w:ascii="Times New Roman" w:hAnsi="Times New Roman" w:cs="Times New Roman"/>
          <w:sz w:val="28"/>
          <w:szCs w:val="28"/>
        </w:rPr>
        <w:t> normativo con disposizioni sempre più di dettaglio spesso non più riconducibili a principi generali e a loro volta fonte di ulteriori incertezze interpretative.</w:t>
      </w:r>
    </w:p>
    <w:p w:rsidR="002629BF" w:rsidRPr="00304864" w:rsidRDefault="002629BF" w:rsidP="002629BF">
      <w:pPr>
        <w:jc w:val="both"/>
        <w:rPr>
          <w:rFonts w:ascii="Times New Roman" w:hAnsi="Times New Roman" w:cs="Times New Roman"/>
          <w:sz w:val="28"/>
          <w:szCs w:val="28"/>
        </w:rPr>
      </w:pPr>
      <w:r w:rsidRPr="00304864">
        <w:rPr>
          <w:rFonts w:ascii="Times New Roman" w:hAnsi="Times New Roman" w:cs="Times New Roman"/>
          <w:sz w:val="28"/>
          <w:szCs w:val="28"/>
        </w:rPr>
        <w:t>Inoltre, la frequente introduzione di previsioni derogatorie, a volte anche a vigenza temporalmente limitata, nonché la collocazione di nuove disposizioni in corpi normativi diversi dal Codice dei contratti hanno reso spesso difficoltosa la stessa individuazione delle disposizioni applicabili.</w:t>
      </w:r>
    </w:p>
    <w:p w:rsidR="002629BF" w:rsidRPr="00304864" w:rsidRDefault="002629BF" w:rsidP="002629BF">
      <w:pPr>
        <w:jc w:val="both"/>
        <w:rPr>
          <w:rFonts w:ascii="Times New Roman" w:hAnsi="Times New Roman" w:cs="Times New Roman"/>
          <w:sz w:val="28"/>
          <w:szCs w:val="28"/>
        </w:rPr>
      </w:pPr>
      <w:r w:rsidRPr="00304864">
        <w:rPr>
          <w:rFonts w:ascii="Times New Roman" w:hAnsi="Times New Roman" w:cs="Times New Roman"/>
          <w:sz w:val="28"/>
          <w:szCs w:val="28"/>
        </w:rPr>
        <w:t>Queste difficoltà sono state nel caso d</w:t>
      </w:r>
      <w:r w:rsidR="00D20288">
        <w:rPr>
          <w:rFonts w:ascii="Times New Roman" w:hAnsi="Times New Roman" w:cs="Times New Roman"/>
          <w:sz w:val="28"/>
          <w:szCs w:val="28"/>
        </w:rPr>
        <w:t xml:space="preserve">ei settori speciali </w:t>
      </w:r>
      <w:r w:rsidRPr="00304864">
        <w:rPr>
          <w:rFonts w:ascii="Times New Roman" w:hAnsi="Times New Roman" w:cs="Times New Roman"/>
          <w:sz w:val="28"/>
          <w:szCs w:val="28"/>
        </w:rPr>
        <w:t>ancor più accentuate anche dalla tecnica legislativa utilizzata, che completava il blocco di disposizioni specificamente previste per queste ultime (art. 114-139) con una serie di rinvii alla disciplina generale “nei limiti di compatibilità”: tutto ciò ha reso talvolta poco intellegibile il quadro di riferimento che pure continuava a prevedere, a favore di imprese pubbliche e soggetti privati, apprezzabili elementi di differenziazione rispetto alla disciplina generale (ad esempio, in tema di appalto integrato (art. 59), in tema di inver</w:t>
      </w:r>
      <w:r w:rsidR="00304864">
        <w:rPr>
          <w:rFonts w:ascii="Times New Roman" w:hAnsi="Times New Roman" w:cs="Times New Roman"/>
          <w:sz w:val="28"/>
          <w:szCs w:val="28"/>
        </w:rPr>
        <w:t>sione procedimentale (art. 133)</w:t>
      </w:r>
      <w:r w:rsidRPr="00304864">
        <w:rPr>
          <w:rFonts w:ascii="Times New Roman" w:hAnsi="Times New Roman" w:cs="Times New Roman"/>
          <w:sz w:val="28"/>
          <w:szCs w:val="28"/>
        </w:rPr>
        <w:t>.</w:t>
      </w:r>
    </w:p>
    <w:p w:rsidR="002629BF" w:rsidRPr="00304864" w:rsidRDefault="002629BF" w:rsidP="002629BF">
      <w:pPr>
        <w:jc w:val="both"/>
        <w:rPr>
          <w:rFonts w:ascii="Times New Roman" w:hAnsi="Times New Roman" w:cs="Times New Roman"/>
          <w:sz w:val="28"/>
          <w:szCs w:val="28"/>
        </w:rPr>
      </w:pPr>
      <w:r w:rsidRPr="00304864">
        <w:rPr>
          <w:rFonts w:ascii="Times New Roman" w:hAnsi="Times New Roman" w:cs="Times New Roman"/>
          <w:sz w:val="28"/>
          <w:szCs w:val="28"/>
        </w:rPr>
        <w:t xml:space="preserve">La riforma del Codice </w:t>
      </w:r>
      <w:r w:rsidR="009E424A" w:rsidRPr="00304864">
        <w:rPr>
          <w:rFonts w:ascii="Times New Roman" w:hAnsi="Times New Roman" w:cs="Times New Roman"/>
          <w:sz w:val="28"/>
          <w:szCs w:val="28"/>
        </w:rPr>
        <w:t>è stata</w:t>
      </w:r>
      <w:r w:rsidR="00304864" w:rsidRPr="00304864">
        <w:rPr>
          <w:rFonts w:ascii="Times New Roman" w:hAnsi="Times New Roman" w:cs="Times New Roman"/>
          <w:sz w:val="28"/>
          <w:szCs w:val="28"/>
        </w:rPr>
        <w:t xml:space="preserve"> quindi</w:t>
      </w:r>
      <w:r w:rsidRPr="00304864">
        <w:rPr>
          <w:rFonts w:ascii="Times New Roman" w:hAnsi="Times New Roman" w:cs="Times New Roman"/>
          <w:sz w:val="28"/>
          <w:szCs w:val="28"/>
        </w:rPr>
        <w:t xml:space="preserve"> una imperdibile </w:t>
      </w:r>
      <w:r w:rsidR="00304864" w:rsidRPr="00304864">
        <w:rPr>
          <w:rFonts w:ascii="Times New Roman" w:hAnsi="Times New Roman" w:cs="Times New Roman"/>
          <w:sz w:val="28"/>
          <w:szCs w:val="28"/>
        </w:rPr>
        <w:t xml:space="preserve">occasione </w:t>
      </w:r>
      <w:r w:rsidRPr="00304864">
        <w:rPr>
          <w:rFonts w:ascii="Times New Roman" w:hAnsi="Times New Roman" w:cs="Times New Roman"/>
          <w:sz w:val="28"/>
          <w:szCs w:val="28"/>
        </w:rPr>
        <w:t xml:space="preserve">perché, nel rispetto di principi e norme della disciplina europea e nella prospettiva multilivello che caratterizza la materia, </w:t>
      </w:r>
      <w:r w:rsidR="009E424A" w:rsidRPr="00304864">
        <w:rPr>
          <w:rFonts w:ascii="Times New Roman" w:hAnsi="Times New Roman" w:cs="Times New Roman"/>
          <w:sz w:val="28"/>
          <w:szCs w:val="28"/>
        </w:rPr>
        <w:t>fosse</w:t>
      </w:r>
      <w:r w:rsidRPr="00304864">
        <w:rPr>
          <w:rFonts w:ascii="Times New Roman" w:hAnsi="Times New Roman" w:cs="Times New Roman"/>
          <w:sz w:val="28"/>
          <w:szCs w:val="28"/>
        </w:rPr>
        <w:t xml:space="preserve"> conseguito l’obiettivo di razionalizzazione e armonizzazione del quadro regolatorio.</w:t>
      </w:r>
    </w:p>
    <w:p w:rsidR="0044462A" w:rsidRPr="00304864" w:rsidRDefault="009E424A" w:rsidP="0044462A">
      <w:pPr>
        <w:jc w:val="both"/>
        <w:rPr>
          <w:rFonts w:ascii="Times New Roman" w:hAnsi="Times New Roman" w:cs="Times New Roman"/>
          <w:sz w:val="28"/>
          <w:szCs w:val="28"/>
        </w:rPr>
      </w:pPr>
      <w:r w:rsidRPr="00304864">
        <w:rPr>
          <w:rFonts w:ascii="Times New Roman" w:hAnsi="Times New Roman" w:cs="Times New Roman"/>
          <w:sz w:val="28"/>
          <w:szCs w:val="28"/>
        </w:rPr>
        <w:t xml:space="preserve">Il testo approvato di recente </w:t>
      </w:r>
      <w:r w:rsidR="002629BF" w:rsidRPr="00304864">
        <w:rPr>
          <w:rFonts w:ascii="Times New Roman" w:hAnsi="Times New Roman" w:cs="Times New Roman"/>
          <w:sz w:val="28"/>
          <w:szCs w:val="28"/>
        </w:rPr>
        <w:t>non consente ancora valutazioni del tutto compiute, ma favorisce alcune prime considerazioni</w:t>
      </w:r>
      <w:r w:rsidR="0044462A" w:rsidRPr="00304864">
        <w:rPr>
          <w:rFonts w:ascii="Times New Roman" w:hAnsi="Times New Roman" w:cs="Times New Roman"/>
          <w:sz w:val="28"/>
          <w:szCs w:val="28"/>
        </w:rPr>
        <w:t xml:space="preserve"> Innanzitutto, essa sembra muovere in una direzione condivisibile quanto “all’approccio di sistema”, con l’impostazione di un Codice </w:t>
      </w:r>
      <w:proofErr w:type="spellStart"/>
      <w:r w:rsidR="0044462A" w:rsidRPr="00304864">
        <w:rPr>
          <w:rFonts w:ascii="Times New Roman" w:hAnsi="Times New Roman" w:cs="Times New Roman"/>
          <w:sz w:val="28"/>
          <w:szCs w:val="28"/>
        </w:rPr>
        <w:t>autoattuativo</w:t>
      </w:r>
      <w:proofErr w:type="spellEnd"/>
      <w:r w:rsidR="0044462A" w:rsidRPr="00304864">
        <w:rPr>
          <w:rFonts w:ascii="Times New Roman" w:hAnsi="Times New Roman" w:cs="Times New Roman"/>
          <w:sz w:val="28"/>
          <w:szCs w:val="28"/>
        </w:rPr>
        <w:t xml:space="preserve"> (senza necessità di ulteriori provvedimenti “a valle”) e con l’innovativa affermazione - tra i canoni di condotta che devono costituire ri</w:t>
      </w:r>
      <w:r w:rsidR="00304864">
        <w:rPr>
          <w:rFonts w:ascii="Times New Roman" w:hAnsi="Times New Roman" w:cs="Times New Roman"/>
          <w:sz w:val="28"/>
          <w:szCs w:val="28"/>
        </w:rPr>
        <w:t>ferimenti per i committenti -</w:t>
      </w:r>
      <w:r w:rsidR="0044462A" w:rsidRPr="00304864">
        <w:rPr>
          <w:rFonts w:ascii="Times New Roman" w:hAnsi="Times New Roman" w:cs="Times New Roman"/>
          <w:sz w:val="28"/>
          <w:szCs w:val="28"/>
        </w:rPr>
        <w:t xml:space="preserve"> del “principio del risultato” individuato come criterio prioritario</w:t>
      </w:r>
      <w:r w:rsidR="0044462A" w:rsidRPr="00304864">
        <w:rPr>
          <w:sz w:val="28"/>
          <w:szCs w:val="28"/>
        </w:rPr>
        <w:t xml:space="preserve"> </w:t>
      </w:r>
      <w:r w:rsidR="0044462A" w:rsidRPr="00304864">
        <w:rPr>
          <w:rFonts w:ascii="Times New Roman" w:hAnsi="Times New Roman" w:cs="Times New Roman"/>
          <w:sz w:val="28"/>
          <w:szCs w:val="28"/>
        </w:rPr>
        <w:t>per l’esercizio del potere discrezionale e rispetto al quale concorrenza e trasparenza non costituiscono più fine ultimo ma il mezzo per il miglior conseguimento dell’interesse pubblico; del “principio della fiducia” per valorizzare l’esercizio del potere discrezionale da parte delle stazioni appaltanti; così come condivisibili sono anche l’affermazione, in linea con il diritto dell’Unione europea, del principio di autorganizzazione e l’ampliamento degli ambiti di discrezionalità amministrativa, il cui corretto esercizio potrà essere vagliato alla luce dei principi e regole in</w:t>
      </w:r>
      <w:r w:rsidR="00304864">
        <w:rPr>
          <w:rFonts w:ascii="Times New Roman" w:hAnsi="Times New Roman" w:cs="Times New Roman"/>
          <w:sz w:val="28"/>
          <w:szCs w:val="28"/>
        </w:rPr>
        <w:t xml:space="preserve"> tema di azione amministrativa.</w:t>
      </w:r>
    </w:p>
    <w:p w:rsidR="0044462A" w:rsidRPr="00304864" w:rsidRDefault="0044462A" w:rsidP="0044462A">
      <w:pPr>
        <w:jc w:val="both"/>
        <w:rPr>
          <w:rFonts w:ascii="Times New Roman" w:hAnsi="Times New Roman" w:cs="Times New Roman"/>
          <w:sz w:val="28"/>
          <w:szCs w:val="28"/>
        </w:rPr>
      </w:pPr>
      <w:r w:rsidRPr="00304864">
        <w:rPr>
          <w:rFonts w:ascii="Times New Roman" w:hAnsi="Times New Roman" w:cs="Times New Roman"/>
          <w:sz w:val="28"/>
          <w:szCs w:val="28"/>
        </w:rPr>
        <w:t>Per quanto attiene nello specifico ai</w:t>
      </w:r>
      <w:r w:rsidR="00EA4860">
        <w:rPr>
          <w:rFonts w:ascii="Times New Roman" w:hAnsi="Times New Roman" w:cs="Times New Roman"/>
          <w:sz w:val="28"/>
          <w:szCs w:val="28"/>
        </w:rPr>
        <w:t xml:space="preserve"> </w:t>
      </w:r>
      <w:r w:rsidRPr="00304864">
        <w:rPr>
          <w:rFonts w:ascii="Times New Roman" w:hAnsi="Times New Roman" w:cs="Times New Roman"/>
          <w:sz w:val="28"/>
          <w:szCs w:val="28"/>
        </w:rPr>
        <w:t>settori</w:t>
      </w:r>
      <w:r w:rsidR="00EA4860">
        <w:rPr>
          <w:rFonts w:ascii="Times New Roman" w:hAnsi="Times New Roman" w:cs="Times New Roman"/>
          <w:sz w:val="28"/>
          <w:szCs w:val="28"/>
        </w:rPr>
        <w:t xml:space="preserve"> </w:t>
      </w:r>
      <w:r w:rsidRPr="00304864">
        <w:rPr>
          <w:rFonts w:ascii="Times New Roman" w:hAnsi="Times New Roman" w:cs="Times New Roman"/>
          <w:sz w:val="28"/>
          <w:szCs w:val="28"/>
        </w:rPr>
        <w:t>speciali, le difficoltà nella identificazione del regime in concreto applicabile, verificatesi con l’attuale Codice, sembrano potere essere superate dalla portata tendenzialmente “autoconclusiva” della disciplina e dal più limitato rinvio alla normativa generale. Sarebbe stato forse preferibile, ai fini di una più agevole fruibilità della disciplina, un assetto del tutto autonomo, così da dare vita ad un sistema autosufficiente e conchiuso, ma ciò avrebbe comportato la riproduzione, anche in modo pedissequo, di intere norme già previste dalla disciplina generale.</w:t>
      </w:r>
    </w:p>
    <w:p w:rsidR="0044462A" w:rsidRPr="00304864" w:rsidRDefault="0044462A" w:rsidP="0044462A">
      <w:pPr>
        <w:jc w:val="both"/>
        <w:rPr>
          <w:rFonts w:ascii="Times New Roman" w:hAnsi="Times New Roman" w:cs="Times New Roman"/>
          <w:sz w:val="28"/>
          <w:szCs w:val="28"/>
        </w:rPr>
      </w:pPr>
      <w:r w:rsidRPr="00304864">
        <w:rPr>
          <w:rFonts w:ascii="Times New Roman" w:hAnsi="Times New Roman" w:cs="Times New Roman"/>
          <w:sz w:val="28"/>
          <w:szCs w:val="28"/>
        </w:rPr>
        <w:t xml:space="preserve">In modo condivisibile, </w:t>
      </w:r>
      <w:r w:rsidR="00EA4860">
        <w:rPr>
          <w:rFonts w:ascii="Times New Roman" w:hAnsi="Times New Roman" w:cs="Times New Roman"/>
          <w:sz w:val="28"/>
          <w:szCs w:val="28"/>
        </w:rPr>
        <w:t xml:space="preserve">la riforma </w:t>
      </w:r>
      <w:r w:rsidRPr="00304864">
        <w:rPr>
          <w:rFonts w:ascii="Times New Roman" w:hAnsi="Times New Roman" w:cs="Times New Roman"/>
          <w:sz w:val="28"/>
          <w:szCs w:val="28"/>
        </w:rPr>
        <w:t xml:space="preserve">conferma per imprese pubbliche </w:t>
      </w:r>
      <w:r w:rsidR="00EA4860">
        <w:rPr>
          <w:rFonts w:ascii="Times New Roman" w:hAnsi="Times New Roman" w:cs="Times New Roman"/>
          <w:sz w:val="28"/>
          <w:szCs w:val="28"/>
        </w:rPr>
        <w:t xml:space="preserve">e soggetti privati operanti nei </w:t>
      </w:r>
      <w:r w:rsidRPr="00304864">
        <w:rPr>
          <w:rFonts w:ascii="Times New Roman" w:hAnsi="Times New Roman" w:cs="Times New Roman"/>
          <w:sz w:val="28"/>
          <w:szCs w:val="28"/>
        </w:rPr>
        <w:t>settori</w:t>
      </w:r>
      <w:r w:rsidR="00EA4860">
        <w:rPr>
          <w:rFonts w:ascii="Times New Roman" w:hAnsi="Times New Roman" w:cs="Times New Roman"/>
          <w:sz w:val="28"/>
          <w:szCs w:val="28"/>
        </w:rPr>
        <w:t xml:space="preserve"> </w:t>
      </w:r>
      <w:r w:rsidRPr="00304864">
        <w:rPr>
          <w:rFonts w:ascii="Times New Roman" w:hAnsi="Times New Roman" w:cs="Times New Roman"/>
          <w:sz w:val="28"/>
          <w:szCs w:val="28"/>
        </w:rPr>
        <w:t>speciali</w:t>
      </w:r>
      <w:r w:rsidR="00EA4860">
        <w:rPr>
          <w:rFonts w:ascii="Times New Roman" w:hAnsi="Times New Roman" w:cs="Times New Roman"/>
          <w:sz w:val="28"/>
          <w:szCs w:val="28"/>
        </w:rPr>
        <w:t xml:space="preserve"> </w:t>
      </w:r>
      <w:r w:rsidRPr="00304864">
        <w:rPr>
          <w:rFonts w:ascii="Times New Roman" w:hAnsi="Times New Roman" w:cs="Times New Roman"/>
          <w:sz w:val="28"/>
          <w:szCs w:val="28"/>
        </w:rPr>
        <w:t xml:space="preserve">la possibilità di disciplinare in autonomia </w:t>
      </w:r>
      <w:r w:rsidR="00EA4860">
        <w:rPr>
          <w:rFonts w:ascii="Times New Roman" w:hAnsi="Times New Roman" w:cs="Times New Roman"/>
          <w:sz w:val="28"/>
          <w:szCs w:val="28"/>
        </w:rPr>
        <w:t xml:space="preserve"> </w:t>
      </w:r>
      <w:r w:rsidRPr="00304864">
        <w:rPr>
          <w:rFonts w:ascii="Times New Roman" w:hAnsi="Times New Roman" w:cs="Times New Roman"/>
          <w:sz w:val="28"/>
          <w:szCs w:val="28"/>
        </w:rPr>
        <w:t>gli affidamenti sotto</w:t>
      </w:r>
      <w:r w:rsidR="00E716B6">
        <w:rPr>
          <w:rFonts w:ascii="Times New Roman" w:hAnsi="Times New Roman" w:cs="Times New Roman"/>
          <w:sz w:val="28"/>
          <w:szCs w:val="28"/>
        </w:rPr>
        <w:t xml:space="preserve"> </w:t>
      </w:r>
      <w:r w:rsidRPr="00304864">
        <w:rPr>
          <w:rFonts w:ascii="Times New Roman" w:hAnsi="Times New Roman" w:cs="Times New Roman"/>
          <w:sz w:val="28"/>
          <w:szCs w:val="28"/>
        </w:rPr>
        <w:t>soglia (fermo il rispetto dei principi dell’ordinamento europeo); così come, nella logica di evitare l’imposizione di vincoli non previsti dalla disciplina europea, esclude l’obbligo di motivazione aggravata nella definizione dell’oggetto dell’affidamento (suddivisione in lotti), che potrà essere definito tenendo conto delle specificità del settore di riferimento e delle specifiche esigenze operative.</w:t>
      </w:r>
    </w:p>
    <w:p w:rsidR="00304864" w:rsidRDefault="00D20288" w:rsidP="0044462A">
      <w:pPr>
        <w:jc w:val="both"/>
        <w:rPr>
          <w:rFonts w:ascii="Times New Roman" w:hAnsi="Times New Roman" w:cs="Times New Roman"/>
          <w:sz w:val="28"/>
          <w:szCs w:val="28"/>
        </w:rPr>
      </w:pPr>
      <w:r>
        <w:rPr>
          <w:rFonts w:ascii="Times New Roman" w:hAnsi="Times New Roman" w:cs="Times New Roman"/>
          <w:sz w:val="28"/>
          <w:szCs w:val="28"/>
        </w:rPr>
        <w:t>I</w:t>
      </w:r>
      <w:r w:rsidR="0044462A" w:rsidRPr="00304864">
        <w:rPr>
          <w:rFonts w:ascii="Times New Roman" w:hAnsi="Times New Roman" w:cs="Times New Roman"/>
          <w:sz w:val="28"/>
          <w:szCs w:val="28"/>
        </w:rPr>
        <w:t xml:space="preserve">n questa prospettiva </w:t>
      </w:r>
      <w:r>
        <w:rPr>
          <w:rFonts w:ascii="Times New Roman" w:hAnsi="Times New Roman" w:cs="Times New Roman"/>
          <w:sz w:val="28"/>
          <w:szCs w:val="28"/>
        </w:rPr>
        <w:t xml:space="preserve">è </w:t>
      </w:r>
      <w:r w:rsidR="0044462A" w:rsidRPr="00304864">
        <w:rPr>
          <w:rFonts w:ascii="Times New Roman" w:hAnsi="Times New Roman" w:cs="Times New Roman"/>
          <w:sz w:val="28"/>
          <w:szCs w:val="28"/>
        </w:rPr>
        <w:t>utile il riconoscimento di ulteriori margini di flessibilità per imprese pubbliche e soggetti privati, lasciando loro la possibilità di autodeterminare la propria azione al di fuori di vincoli non previsti dalla disciplina europea, seppure utili ad indirizzare efficacemente l’azione di pubbliche amministrazioni in specie se di più ridotte dimensioni.</w:t>
      </w:r>
      <w:r w:rsidR="00304864">
        <w:rPr>
          <w:rFonts w:ascii="Times New Roman" w:hAnsi="Times New Roman" w:cs="Times New Roman"/>
          <w:sz w:val="28"/>
          <w:szCs w:val="28"/>
        </w:rPr>
        <w:t xml:space="preserve"> </w:t>
      </w:r>
    </w:p>
    <w:p w:rsidR="0044462A" w:rsidRPr="00304864" w:rsidRDefault="0044462A" w:rsidP="0044462A">
      <w:pPr>
        <w:jc w:val="both"/>
        <w:rPr>
          <w:rFonts w:ascii="Times New Roman" w:hAnsi="Times New Roman" w:cs="Times New Roman"/>
          <w:sz w:val="28"/>
          <w:szCs w:val="28"/>
        </w:rPr>
      </w:pPr>
      <w:r w:rsidRPr="00304864">
        <w:rPr>
          <w:rFonts w:ascii="Times New Roman" w:hAnsi="Times New Roman" w:cs="Times New Roman"/>
          <w:sz w:val="28"/>
          <w:szCs w:val="28"/>
        </w:rPr>
        <w:t>Dovrebbe essere, ad esempio, configurata in termini solo facoltativi l’applicazione della disciplina che predefinisce i casi cui ricorrere o meno al criterio del prezzo più basso; così come dovrebbe essere facoltativa l’applicazione dei meccanismi preventivi di individuazione della soglia al raggiungimento della quale le offerte devono essere sottoposte a verifica di congruità, meccanismi che ciascuna stazione appaltante potrà eventualmente stabilire in autonomia (in questo senso sembra essere l’impostazione dell’art. 110 dello Schema). Si tratta di previsioni che, in passato, hanno rappresentato per i soggetti operanti nei settori speciali vincoli operativi precostituiti che ne hanno appesantito le attività.</w:t>
      </w:r>
    </w:p>
    <w:p w:rsidR="00070252" w:rsidRPr="00C87732" w:rsidRDefault="00070252" w:rsidP="00C87732">
      <w:pPr>
        <w:jc w:val="both"/>
        <w:rPr>
          <w:rFonts w:ascii="Times New Roman" w:hAnsi="Times New Roman" w:cs="Times New Roman"/>
          <w:b/>
          <w:sz w:val="28"/>
          <w:szCs w:val="28"/>
        </w:rPr>
      </w:pPr>
    </w:p>
    <w:p w:rsidR="00EA4860" w:rsidRPr="00EA4860" w:rsidRDefault="00EA4860" w:rsidP="00BE75D6">
      <w:pPr>
        <w:jc w:val="both"/>
        <w:rPr>
          <w:rFonts w:ascii="Times New Roman" w:hAnsi="Times New Roman" w:cs="Times New Roman"/>
          <w:b/>
          <w:sz w:val="28"/>
          <w:szCs w:val="28"/>
        </w:rPr>
      </w:pPr>
      <w:r w:rsidRPr="00EA4860">
        <w:rPr>
          <w:rFonts w:ascii="Times New Roman" w:hAnsi="Times New Roman" w:cs="Times New Roman"/>
          <w:b/>
          <w:sz w:val="28"/>
          <w:szCs w:val="28"/>
        </w:rPr>
        <w:t>Caratteri della riforma</w:t>
      </w:r>
    </w:p>
    <w:p w:rsidR="00EA4860" w:rsidRPr="00EA4860" w:rsidRDefault="00EA4860" w:rsidP="00EA4860">
      <w:pPr>
        <w:jc w:val="both"/>
        <w:rPr>
          <w:rFonts w:ascii="Times New Roman" w:hAnsi="Times New Roman" w:cs="Times New Roman"/>
          <w:sz w:val="28"/>
          <w:szCs w:val="28"/>
        </w:rPr>
      </w:pPr>
      <w:r w:rsidRPr="00EA4860">
        <w:rPr>
          <w:rFonts w:ascii="Times New Roman" w:hAnsi="Times New Roman" w:cs="Times New Roman"/>
          <w:sz w:val="28"/>
          <w:szCs w:val="28"/>
        </w:rPr>
        <w:t xml:space="preserve">In modo condivisibile, la riforma </w:t>
      </w:r>
      <w:r>
        <w:rPr>
          <w:rFonts w:ascii="Times New Roman" w:hAnsi="Times New Roman" w:cs="Times New Roman"/>
          <w:sz w:val="28"/>
          <w:szCs w:val="28"/>
        </w:rPr>
        <w:t>pone l’accento sulla possibilità</w:t>
      </w:r>
      <w:r w:rsidRPr="00EA4860">
        <w:rPr>
          <w:rFonts w:ascii="Times New Roman" w:hAnsi="Times New Roman" w:cs="Times New Roman"/>
          <w:sz w:val="28"/>
          <w:szCs w:val="28"/>
        </w:rPr>
        <w:t xml:space="preserve"> per imprese pubbliche e soggetti privati operanti nei settori speciali di disciplinare in autonomia  gli affidamenti </w:t>
      </w:r>
      <w:proofErr w:type="spellStart"/>
      <w:r w:rsidRPr="00EA4860">
        <w:rPr>
          <w:rFonts w:ascii="Times New Roman" w:hAnsi="Times New Roman" w:cs="Times New Roman"/>
          <w:sz w:val="28"/>
          <w:szCs w:val="28"/>
        </w:rPr>
        <w:t>sottosoglia</w:t>
      </w:r>
      <w:proofErr w:type="spellEnd"/>
      <w:r w:rsidRPr="00EA4860">
        <w:rPr>
          <w:rFonts w:ascii="Times New Roman" w:hAnsi="Times New Roman" w:cs="Times New Roman"/>
          <w:sz w:val="28"/>
          <w:szCs w:val="28"/>
        </w:rPr>
        <w:t xml:space="preserve"> (fermo il rispetto dei principi dell’ordinamento europeo); così come, nella logica di evitare l’imposizione di vincoli non previsti dalla disciplina europea, esclude l’obbligo di motivazione aggravata nella definizione dell’oggetto dell’affidamento (suddivisione in lotti), che potrà essere definito tenendo conto delle specificità del settore di riferimento e delle specifiche esigenze operative.</w:t>
      </w:r>
    </w:p>
    <w:p w:rsidR="00EA4860" w:rsidRDefault="00EE0F1B" w:rsidP="00EA4860">
      <w:pPr>
        <w:jc w:val="both"/>
        <w:rPr>
          <w:rFonts w:ascii="Times New Roman" w:hAnsi="Times New Roman" w:cs="Times New Roman"/>
          <w:sz w:val="28"/>
          <w:szCs w:val="28"/>
        </w:rPr>
      </w:pPr>
      <w:r>
        <w:rPr>
          <w:rFonts w:ascii="Times New Roman" w:hAnsi="Times New Roman" w:cs="Times New Roman"/>
          <w:sz w:val="28"/>
          <w:szCs w:val="28"/>
        </w:rPr>
        <w:t>I</w:t>
      </w:r>
      <w:r w:rsidR="00EA4860" w:rsidRPr="00EA4860">
        <w:rPr>
          <w:rFonts w:ascii="Times New Roman" w:hAnsi="Times New Roman" w:cs="Times New Roman"/>
          <w:sz w:val="28"/>
          <w:szCs w:val="28"/>
        </w:rPr>
        <w:t xml:space="preserve">n questa prospettiva </w:t>
      </w:r>
      <w:r>
        <w:rPr>
          <w:rFonts w:ascii="Times New Roman" w:hAnsi="Times New Roman" w:cs="Times New Roman"/>
          <w:sz w:val="28"/>
          <w:szCs w:val="28"/>
        </w:rPr>
        <w:t xml:space="preserve">è </w:t>
      </w:r>
      <w:r w:rsidR="00EA4860" w:rsidRPr="00EA4860">
        <w:rPr>
          <w:rFonts w:ascii="Times New Roman" w:hAnsi="Times New Roman" w:cs="Times New Roman"/>
          <w:sz w:val="28"/>
          <w:szCs w:val="28"/>
        </w:rPr>
        <w:t xml:space="preserve">utile il riconoscimento di ulteriori margini di flessibilità per imprese pubbliche e soggetti privati, lasciando loro la possibilità di autodeterminare la propria azione al di fuori di vincoli non previsti dalla disciplina europea, seppure utili ad indirizzare efficacemente l’azione di pubbliche amministrazioni in specie se di più ridotte dimensioni. </w:t>
      </w:r>
    </w:p>
    <w:p w:rsidR="00C87732" w:rsidRPr="00070252" w:rsidRDefault="00C87732" w:rsidP="00C87732">
      <w:pPr>
        <w:jc w:val="both"/>
        <w:rPr>
          <w:rFonts w:ascii="Times New Roman" w:hAnsi="Times New Roman" w:cs="Times New Roman"/>
          <w:sz w:val="28"/>
          <w:szCs w:val="28"/>
        </w:rPr>
      </w:pPr>
      <w:r w:rsidRPr="00070252">
        <w:rPr>
          <w:rFonts w:ascii="Times New Roman" w:hAnsi="Times New Roman" w:cs="Times New Roman"/>
          <w:sz w:val="28"/>
          <w:szCs w:val="28"/>
        </w:rPr>
        <w:t xml:space="preserve">Con riferimento all’ambito soggettivo si è rilevata </w:t>
      </w:r>
      <w:r w:rsidR="00070252" w:rsidRPr="00070252">
        <w:rPr>
          <w:rFonts w:ascii="Times New Roman" w:hAnsi="Times New Roman" w:cs="Times New Roman"/>
          <w:sz w:val="28"/>
          <w:szCs w:val="28"/>
        </w:rPr>
        <w:t>qualche criticità</w:t>
      </w:r>
      <w:r w:rsidRPr="00070252">
        <w:rPr>
          <w:rFonts w:ascii="Times New Roman" w:hAnsi="Times New Roman" w:cs="Times New Roman"/>
          <w:sz w:val="28"/>
          <w:szCs w:val="28"/>
        </w:rPr>
        <w:t>:</w:t>
      </w:r>
    </w:p>
    <w:p w:rsidR="00C87732" w:rsidRPr="00070252" w:rsidRDefault="00070252" w:rsidP="00C87732">
      <w:pPr>
        <w:jc w:val="both"/>
        <w:rPr>
          <w:rFonts w:ascii="Times New Roman" w:hAnsi="Times New Roman" w:cs="Times New Roman"/>
          <w:sz w:val="28"/>
          <w:szCs w:val="28"/>
        </w:rPr>
      </w:pPr>
      <w:r w:rsidRPr="00070252">
        <w:rPr>
          <w:rFonts w:ascii="Times New Roman" w:hAnsi="Times New Roman" w:cs="Times New Roman"/>
          <w:sz w:val="28"/>
          <w:szCs w:val="28"/>
        </w:rPr>
        <w:t>Ed infatti</w:t>
      </w:r>
      <w:r w:rsidR="00C87732" w:rsidRPr="00070252">
        <w:rPr>
          <w:rFonts w:ascii="Times New Roman" w:hAnsi="Times New Roman" w:cs="Times New Roman"/>
          <w:sz w:val="28"/>
          <w:szCs w:val="28"/>
        </w:rPr>
        <w:t xml:space="preserve">, è ravvisabile nell’attuale versione dell’art. 141, sia al primo che al secondo comma, </w:t>
      </w:r>
      <w:r w:rsidRPr="00070252">
        <w:rPr>
          <w:rFonts w:ascii="Times New Roman" w:hAnsi="Times New Roman" w:cs="Times New Roman"/>
          <w:sz w:val="28"/>
          <w:szCs w:val="28"/>
        </w:rPr>
        <w:t>un</w:t>
      </w:r>
      <w:r w:rsidR="00C87732" w:rsidRPr="00070252">
        <w:rPr>
          <w:rFonts w:ascii="Times New Roman" w:hAnsi="Times New Roman" w:cs="Times New Roman"/>
          <w:sz w:val="28"/>
          <w:szCs w:val="28"/>
        </w:rPr>
        <w:t xml:space="preserve"> riferimento all’ambito dei settori speciali, </w:t>
      </w:r>
      <w:r w:rsidRPr="00070252">
        <w:rPr>
          <w:rFonts w:ascii="Times New Roman" w:hAnsi="Times New Roman" w:cs="Times New Roman"/>
          <w:sz w:val="28"/>
          <w:szCs w:val="28"/>
        </w:rPr>
        <w:t>all’</w:t>
      </w:r>
      <w:r w:rsidR="00C87732" w:rsidRPr="00070252">
        <w:rPr>
          <w:rFonts w:ascii="Times New Roman" w:hAnsi="Times New Roman" w:cs="Times New Roman"/>
          <w:sz w:val="28"/>
          <w:szCs w:val="28"/>
        </w:rPr>
        <w:t xml:space="preserve">applicazione </w:t>
      </w:r>
      <w:r w:rsidRPr="00070252">
        <w:rPr>
          <w:rFonts w:ascii="Times New Roman" w:hAnsi="Times New Roman" w:cs="Times New Roman"/>
          <w:sz w:val="28"/>
          <w:szCs w:val="28"/>
        </w:rPr>
        <w:t>“</w:t>
      </w:r>
      <w:r w:rsidR="00C87732" w:rsidRPr="00070252">
        <w:rPr>
          <w:rFonts w:ascii="Times New Roman" w:hAnsi="Times New Roman" w:cs="Times New Roman"/>
          <w:sz w:val="28"/>
          <w:szCs w:val="28"/>
        </w:rPr>
        <w:t xml:space="preserve">del presente Libro”. </w:t>
      </w:r>
      <w:r w:rsidRPr="00070252">
        <w:rPr>
          <w:rFonts w:ascii="Times New Roman" w:hAnsi="Times New Roman" w:cs="Times New Roman"/>
          <w:sz w:val="28"/>
          <w:szCs w:val="28"/>
        </w:rPr>
        <w:t>Ora</w:t>
      </w:r>
      <w:r w:rsidR="00C87732" w:rsidRPr="00070252">
        <w:rPr>
          <w:rFonts w:ascii="Times New Roman" w:hAnsi="Times New Roman" w:cs="Times New Roman"/>
          <w:sz w:val="28"/>
          <w:szCs w:val="28"/>
        </w:rPr>
        <w:t xml:space="preserve">, la sola esclusione dall’applicazione del Libro sui settori speciali - considerando che la norma fa riferimento alla nozione omnicomprensiva di “stazioni appaltanti”(richiamate nel primo comma insieme ai soggetti titolari di diritti speciali ed esclusivi) - potrebbe indurre a ritenere che le stazioni appaltanti - ivi incluse le imprese pubbliche ei soggetti titolari di diritti speciali ed esclusivi (citate nel secondo comma) - siano tenute ad applicare nel caso di appalti non strumentali la disciplina sui settori ordinari (con ciò violando il divieto di </w:t>
      </w:r>
      <w:proofErr w:type="spellStart"/>
      <w:r w:rsidR="00C87732" w:rsidRPr="00070252">
        <w:rPr>
          <w:rFonts w:ascii="Times New Roman" w:hAnsi="Times New Roman" w:cs="Times New Roman"/>
          <w:sz w:val="28"/>
          <w:szCs w:val="28"/>
        </w:rPr>
        <w:t>gold</w:t>
      </w:r>
      <w:proofErr w:type="spellEnd"/>
      <w:r w:rsidR="00C87732" w:rsidRPr="00070252">
        <w:rPr>
          <w:rFonts w:ascii="Times New Roman" w:hAnsi="Times New Roman" w:cs="Times New Roman"/>
          <w:sz w:val="28"/>
          <w:szCs w:val="28"/>
        </w:rPr>
        <w:t xml:space="preserve"> </w:t>
      </w:r>
      <w:proofErr w:type="spellStart"/>
      <w:r w:rsidR="00C87732" w:rsidRPr="00070252">
        <w:rPr>
          <w:rFonts w:ascii="Times New Roman" w:hAnsi="Times New Roman" w:cs="Times New Roman"/>
          <w:sz w:val="28"/>
          <w:szCs w:val="28"/>
        </w:rPr>
        <w:t>plating</w:t>
      </w:r>
      <w:proofErr w:type="spellEnd"/>
      <w:r w:rsidR="00C87732" w:rsidRPr="00070252">
        <w:rPr>
          <w:rFonts w:ascii="Times New Roman" w:hAnsi="Times New Roman" w:cs="Times New Roman"/>
          <w:sz w:val="28"/>
          <w:szCs w:val="28"/>
        </w:rPr>
        <w:t>).</w:t>
      </w:r>
    </w:p>
    <w:p w:rsidR="00C87732" w:rsidRPr="00070252" w:rsidRDefault="00C87732" w:rsidP="00C87732">
      <w:pPr>
        <w:jc w:val="both"/>
        <w:rPr>
          <w:rFonts w:ascii="Times New Roman" w:hAnsi="Times New Roman" w:cs="Times New Roman"/>
          <w:sz w:val="28"/>
          <w:szCs w:val="28"/>
        </w:rPr>
      </w:pPr>
      <w:r w:rsidRPr="00070252">
        <w:rPr>
          <w:rFonts w:ascii="Times New Roman" w:hAnsi="Times New Roman" w:cs="Times New Roman"/>
          <w:sz w:val="28"/>
          <w:szCs w:val="28"/>
        </w:rPr>
        <w:t>In tal senso, un chiaro esempio parrebbe essere la nuova disciplina prevista per l’istituto (</w:t>
      </w:r>
      <w:proofErr w:type="spellStart"/>
      <w:r w:rsidRPr="00070252">
        <w:rPr>
          <w:rFonts w:ascii="Times New Roman" w:hAnsi="Times New Roman" w:cs="Times New Roman"/>
          <w:sz w:val="28"/>
          <w:szCs w:val="28"/>
        </w:rPr>
        <w:t>rectius</w:t>
      </w:r>
      <w:proofErr w:type="spellEnd"/>
      <w:r w:rsidRPr="00070252">
        <w:rPr>
          <w:rFonts w:ascii="Times New Roman" w:hAnsi="Times New Roman" w:cs="Times New Roman"/>
          <w:sz w:val="28"/>
          <w:szCs w:val="28"/>
        </w:rPr>
        <w:t xml:space="preserve"> principio) della suddivisione in lotti di cui al comma 5 del nuovo art. 141. La disposizione rappresenta un’innovazione rilevante perché se da un lato recepisce puntualmente la previsione ex art. 65, Dir. 2014/ 25/UE, superando così un caso di </w:t>
      </w:r>
      <w:proofErr w:type="spellStart"/>
      <w:r w:rsidRPr="00070252">
        <w:rPr>
          <w:rFonts w:ascii="Times New Roman" w:hAnsi="Times New Roman" w:cs="Times New Roman"/>
          <w:sz w:val="28"/>
          <w:szCs w:val="28"/>
        </w:rPr>
        <w:t>gold</w:t>
      </w:r>
      <w:proofErr w:type="spellEnd"/>
      <w:r w:rsidRPr="00070252">
        <w:rPr>
          <w:rFonts w:ascii="Times New Roman" w:hAnsi="Times New Roman" w:cs="Times New Roman"/>
          <w:sz w:val="28"/>
          <w:szCs w:val="28"/>
        </w:rPr>
        <w:t xml:space="preserve"> </w:t>
      </w:r>
      <w:proofErr w:type="spellStart"/>
      <w:r w:rsidRPr="00070252">
        <w:rPr>
          <w:rFonts w:ascii="Times New Roman" w:hAnsi="Times New Roman" w:cs="Times New Roman"/>
          <w:sz w:val="28"/>
          <w:szCs w:val="28"/>
        </w:rPr>
        <w:t>plating</w:t>
      </w:r>
      <w:proofErr w:type="spellEnd"/>
      <w:r w:rsidRPr="00070252">
        <w:rPr>
          <w:rFonts w:ascii="Times New Roman" w:hAnsi="Times New Roman" w:cs="Times New Roman"/>
          <w:sz w:val="28"/>
          <w:szCs w:val="28"/>
        </w:rPr>
        <w:t xml:space="preserve"> determinatosi per effetto di quanto previsto nell’art. 51, </w:t>
      </w:r>
      <w:proofErr w:type="spellStart"/>
      <w:proofErr w:type="gramStart"/>
      <w:r w:rsidRPr="00070252">
        <w:rPr>
          <w:rFonts w:ascii="Times New Roman" w:hAnsi="Times New Roman" w:cs="Times New Roman"/>
          <w:sz w:val="28"/>
          <w:szCs w:val="28"/>
        </w:rPr>
        <w:t>D.Lgs</w:t>
      </w:r>
      <w:proofErr w:type="gramEnd"/>
      <w:r w:rsidRPr="00070252">
        <w:rPr>
          <w:rFonts w:ascii="Times New Roman" w:hAnsi="Times New Roman" w:cs="Times New Roman"/>
          <w:sz w:val="28"/>
          <w:szCs w:val="28"/>
        </w:rPr>
        <w:t>.</w:t>
      </w:r>
      <w:proofErr w:type="spellEnd"/>
      <w:r w:rsidRPr="00070252">
        <w:rPr>
          <w:rFonts w:ascii="Times New Roman" w:hAnsi="Times New Roman" w:cs="Times New Roman"/>
          <w:sz w:val="28"/>
          <w:szCs w:val="28"/>
        </w:rPr>
        <w:t xml:space="preserve"> n. 50/2016 (il quale impone l’obbligo di motivazione aggravata in caso di mancata suddivisione in lotti dell’appalto), dall’altro, sembrerebbe porsi quale possibile declinazione pratica dei principi del risultato e della fiducia introdotti nel nuovo codice.</w:t>
      </w:r>
    </w:p>
    <w:p w:rsidR="00C87732" w:rsidRPr="00070252" w:rsidRDefault="00C87732" w:rsidP="00C87732">
      <w:pPr>
        <w:jc w:val="both"/>
        <w:rPr>
          <w:rFonts w:ascii="Times New Roman" w:hAnsi="Times New Roman" w:cs="Times New Roman"/>
          <w:sz w:val="28"/>
          <w:szCs w:val="28"/>
        </w:rPr>
      </w:pPr>
      <w:r w:rsidRPr="00070252">
        <w:rPr>
          <w:rFonts w:ascii="Times New Roman" w:hAnsi="Times New Roman" w:cs="Times New Roman"/>
          <w:sz w:val="28"/>
          <w:szCs w:val="28"/>
        </w:rPr>
        <w:t>Ciò nella misura in cui viene consentito all’amministrazione di esercitare in concreto un ampio potere discrezionale nella determinazione delle regole di gara e, in specie, delle dimensioni dell’oggetto dell’appalto e dei lotti in cui eventualmente suddividerlo, sulla base di una valutazione semplificata che tenga conto degli interessi funzionali e strategici dalla stessa perseguiti.</w:t>
      </w:r>
    </w:p>
    <w:p w:rsidR="00C87732" w:rsidRPr="00070252" w:rsidRDefault="00C87732" w:rsidP="00C87732">
      <w:pPr>
        <w:jc w:val="both"/>
        <w:rPr>
          <w:rFonts w:ascii="Times New Roman" w:hAnsi="Times New Roman" w:cs="Times New Roman"/>
          <w:sz w:val="28"/>
          <w:szCs w:val="28"/>
        </w:rPr>
      </w:pPr>
      <w:r w:rsidRPr="00070252">
        <w:rPr>
          <w:rFonts w:ascii="Times New Roman" w:hAnsi="Times New Roman" w:cs="Times New Roman"/>
          <w:sz w:val="28"/>
          <w:szCs w:val="28"/>
        </w:rPr>
        <w:t>Conferma quanto su esposto il considerando n. 87 della Dir. 2014/25/UE, che, dopo aver affermato che “è opportuno che gli appalti siano adeguati alle necessità delle PMI”, rileva chiaramente che “l’entità e l’oggetto dei lotti dovrebbero essere determinati liberamente dall’ente aggiudicatore”. Tale libertà deve essere, tuttavia, ancorata a decisioni legate a valutazioni di carattere tecnico ed economico, nonché funzionalmente coerenti con il complesso degli interessi pubblici e privati coinvolti nella procedura di appalto, da valutarsi nel quadro complessivo dei principi di proporzionalità e ragionevolezza</w:t>
      </w:r>
    </w:p>
    <w:p w:rsidR="00C87732" w:rsidRPr="00070252" w:rsidRDefault="00C87732" w:rsidP="00C87732">
      <w:pPr>
        <w:jc w:val="both"/>
        <w:rPr>
          <w:rFonts w:ascii="Times New Roman" w:hAnsi="Times New Roman" w:cs="Times New Roman"/>
          <w:sz w:val="28"/>
          <w:szCs w:val="28"/>
        </w:rPr>
      </w:pPr>
      <w:r w:rsidRPr="00070252">
        <w:rPr>
          <w:rFonts w:ascii="Times New Roman" w:hAnsi="Times New Roman" w:cs="Times New Roman"/>
          <w:sz w:val="28"/>
          <w:szCs w:val="28"/>
        </w:rPr>
        <w:t>Queste valutazioni, ad esempio, possono consistere nel fatto che l’Amministrazione ritenga che tale suddivisione possa rischiare di limitare la concorrenza, rendere l’esecuzione dell’appalto eccessivamente difficile da un punto di vista tecnico, ovvero che l’esigenza di coordinare diversi operatori economici per i lotti possa rischiare di pregiudicare la corretta esecuzione dell’appalto.</w:t>
      </w:r>
    </w:p>
    <w:p w:rsidR="00C87732" w:rsidRPr="00070252" w:rsidRDefault="00C87732" w:rsidP="00C87732">
      <w:pPr>
        <w:jc w:val="both"/>
        <w:rPr>
          <w:rFonts w:ascii="Times New Roman" w:hAnsi="Times New Roman" w:cs="Times New Roman"/>
          <w:sz w:val="28"/>
          <w:szCs w:val="28"/>
        </w:rPr>
      </w:pPr>
      <w:r w:rsidRPr="00070252">
        <w:rPr>
          <w:rFonts w:ascii="Times New Roman" w:hAnsi="Times New Roman" w:cs="Times New Roman"/>
          <w:sz w:val="28"/>
          <w:szCs w:val="28"/>
        </w:rPr>
        <w:t xml:space="preserve">Del resto, l’interesse pubblico a che venga garantitala maggiore partecipazione alle gare, non sempre coincide con l’interesse a conseguire il miglior risultato possibile, specialmente nei settori speciali, che, per la peculiarità delle attività che svolgono, rendono la platea dei fornitori particolarmente ristretta. Se, infatti, non vi è alcun dubbio che la suddivisione in lotti sia in grado di garantire una maggiore partecipazione alle gare da parte </w:t>
      </w:r>
      <w:proofErr w:type="gramStart"/>
      <w:r w:rsidRPr="00070252">
        <w:rPr>
          <w:rFonts w:ascii="Times New Roman" w:hAnsi="Times New Roman" w:cs="Times New Roman"/>
          <w:sz w:val="28"/>
          <w:szCs w:val="28"/>
        </w:rPr>
        <w:t>delle micro</w:t>
      </w:r>
      <w:proofErr w:type="gramEnd"/>
      <w:r w:rsidRPr="00070252">
        <w:rPr>
          <w:rFonts w:ascii="Times New Roman" w:hAnsi="Times New Roman" w:cs="Times New Roman"/>
          <w:sz w:val="28"/>
          <w:szCs w:val="28"/>
        </w:rPr>
        <w:t>, piccole e medie imprese, non è scontato che essa riesca nel contempo a stimolare quest’ultime a presentare l’offerta migliore e più conveniente per la stazione appaltante. Da ciò consegue che obiettivo primario dell’ordinamento resta comunque la realizzazione delle opere pubbliche e la soddisfazione dell’interesse della collettività, mentre la concorrenza tra gli operatori economici si configura come meramente funzionale e strumentale al conseguimento del miglior risultato possibile nell’affidamento ed esecuzione dei contratti pubblici. Il raggiungimento di questo risultato implica l’esercizio effettivo della discrezionalità di cui le P.A. dispongono e, di conseguenza, nella fiducia che l’ordinamento ripone tanto nei loro confronti quanto nelle loro scelte.</w:t>
      </w:r>
    </w:p>
    <w:p w:rsidR="00C87732" w:rsidRPr="00070252" w:rsidRDefault="00C87732" w:rsidP="00C87732">
      <w:pPr>
        <w:jc w:val="both"/>
        <w:rPr>
          <w:rFonts w:ascii="Times New Roman" w:hAnsi="Times New Roman" w:cs="Times New Roman"/>
          <w:sz w:val="28"/>
          <w:szCs w:val="28"/>
        </w:rPr>
      </w:pPr>
      <w:r w:rsidRPr="00070252">
        <w:rPr>
          <w:rFonts w:ascii="Times New Roman" w:hAnsi="Times New Roman" w:cs="Times New Roman"/>
          <w:sz w:val="28"/>
          <w:szCs w:val="28"/>
        </w:rPr>
        <w:t>Sul punto, non si ritiene possibile che il legislatore del nuovo Codice abbia voluto determinare una disciplina più restrittiva per i soggetti operanti settori speciali, in quanto rappresenterebbe una scelta in antitesi rispetto agli obiettivi e ai principi declinati nella legge delega. Ancor di più non appare plausibile ove si consideri diffusa valorizzazione del ruolo delle amministrazioni operata dal nuovo Codice, che, come vedremo, riconosce alle stesse un certo grado di autonomia, che emerge chiaramente fin dalla lettura dei primi articoli:</w:t>
      </w:r>
    </w:p>
    <w:p w:rsidR="00C87732" w:rsidRPr="00070252" w:rsidRDefault="00C87732" w:rsidP="00C87732">
      <w:pPr>
        <w:jc w:val="both"/>
        <w:rPr>
          <w:rFonts w:ascii="Times New Roman" w:hAnsi="Times New Roman" w:cs="Times New Roman"/>
          <w:sz w:val="28"/>
          <w:szCs w:val="28"/>
        </w:rPr>
      </w:pPr>
      <w:r w:rsidRPr="00070252">
        <w:rPr>
          <w:rFonts w:ascii="Times New Roman" w:hAnsi="Times New Roman" w:cs="Times New Roman"/>
          <w:sz w:val="28"/>
          <w:szCs w:val="28"/>
        </w:rPr>
        <w:t>l’art. 1 nella parte in cui specifica che il risultato è il “criterio prioritario per l’esercizio del potere discrezionale”; l’art. 2 “favorisce e valorizza l’iniziativa e l’autonomia decisionale dei funzionari pubblici”; l’art. 7 riconosce il principio di “auto-organizzazione amministrativa”, mentre l’art. 8 riconosce il principio di “autonomia contrattuale” dell’amministrazione</w:t>
      </w:r>
    </w:p>
    <w:p w:rsidR="00C87732" w:rsidRDefault="00C87732" w:rsidP="00EE0F1B">
      <w:pPr>
        <w:jc w:val="both"/>
        <w:rPr>
          <w:rFonts w:ascii="Times New Roman" w:hAnsi="Times New Roman" w:cs="Times New Roman"/>
          <w:b/>
          <w:sz w:val="28"/>
          <w:szCs w:val="28"/>
        </w:rPr>
      </w:pPr>
    </w:p>
    <w:p w:rsidR="004B0C44" w:rsidRDefault="00EE0F1B" w:rsidP="00AE2AB1">
      <w:pPr>
        <w:jc w:val="both"/>
        <w:rPr>
          <w:rFonts w:ascii="Times New Roman" w:hAnsi="Times New Roman" w:cs="Times New Roman"/>
          <w:b/>
          <w:sz w:val="28"/>
          <w:szCs w:val="28"/>
        </w:rPr>
      </w:pPr>
      <w:r>
        <w:rPr>
          <w:rFonts w:ascii="Times New Roman" w:hAnsi="Times New Roman" w:cs="Times New Roman"/>
          <w:b/>
          <w:sz w:val="28"/>
          <w:szCs w:val="28"/>
        </w:rPr>
        <w:t>Nozione di “strumentalità”</w:t>
      </w:r>
    </w:p>
    <w:p w:rsidR="00EE0F1B" w:rsidRPr="00C87732" w:rsidRDefault="00EE0F1B" w:rsidP="00AE2AB1">
      <w:pPr>
        <w:jc w:val="both"/>
        <w:rPr>
          <w:rFonts w:ascii="Times New Roman" w:hAnsi="Times New Roman" w:cs="Times New Roman"/>
          <w:sz w:val="28"/>
          <w:szCs w:val="28"/>
        </w:rPr>
      </w:pPr>
      <w:r w:rsidRPr="00C87732">
        <w:rPr>
          <w:rFonts w:ascii="Times New Roman" w:hAnsi="Times New Roman" w:cs="Times New Roman"/>
          <w:sz w:val="28"/>
          <w:szCs w:val="28"/>
        </w:rPr>
        <w:t xml:space="preserve">Proprio sul profilo della forma giuridica e della natura dell’ente è stato spesso tracciato il confine tra soggetti obbligati a seguire regole di evidenza pubblica tout court e soggetti, invece, tenuti a osservarle solo nell’ambito di determinati settori e attività. Pertanto, la scelta di adottare, pur se in un’ottica di semplificazione, una nozione omnicomprensiva sotto il profilo dell’ambito soggettivo di applicazione del nuovo Codice, laddove la stessa non sia supportata coerentemente dal resto delle disposizioni </w:t>
      </w:r>
      <w:proofErr w:type="spellStart"/>
      <w:r w:rsidRPr="00C87732">
        <w:rPr>
          <w:rFonts w:ascii="Times New Roman" w:hAnsi="Times New Roman" w:cs="Times New Roman"/>
          <w:sz w:val="28"/>
          <w:szCs w:val="28"/>
        </w:rPr>
        <w:t>codicistiche</w:t>
      </w:r>
      <w:proofErr w:type="spellEnd"/>
      <w:r w:rsidRPr="00C87732">
        <w:rPr>
          <w:rFonts w:ascii="Times New Roman" w:hAnsi="Times New Roman" w:cs="Times New Roman"/>
          <w:sz w:val="28"/>
          <w:szCs w:val="28"/>
        </w:rPr>
        <w:t>, potrebbe indurre a difficoltà applicative e interpretative per quei soggetti che, proprio in ragione della loro natura e forma giuridica, sono tenuti all’applicazione del diritto degli appalti solo per quei contratti strumentali alle proprie attività, comunemente riferibili ai c.d. settori speciali.</w:t>
      </w:r>
    </w:p>
    <w:p w:rsidR="00EE0F1B" w:rsidRPr="00C87732" w:rsidRDefault="00EE0F1B" w:rsidP="00AE2AB1">
      <w:pPr>
        <w:jc w:val="both"/>
        <w:rPr>
          <w:rFonts w:ascii="Times New Roman" w:hAnsi="Times New Roman" w:cs="Times New Roman"/>
          <w:sz w:val="28"/>
          <w:szCs w:val="28"/>
        </w:rPr>
      </w:pPr>
      <w:r w:rsidRPr="00C87732">
        <w:rPr>
          <w:rFonts w:ascii="Times New Roman" w:hAnsi="Times New Roman" w:cs="Times New Roman"/>
          <w:sz w:val="28"/>
          <w:szCs w:val="28"/>
        </w:rPr>
        <w:t xml:space="preserve">Sotto questo aspetto rileva definire la nozione di strumentalità che rende applicabile la disciplina </w:t>
      </w:r>
      <w:proofErr w:type="spellStart"/>
      <w:r w:rsidRPr="00C87732">
        <w:rPr>
          <w:rFonts w:ascii="Times New Roman" w:hAnsi="Times New Roman" w:cs="Times New Roman"/>
          <w:sz w:val="28"/>
          <w:szCs w:val="28"/>
        </w:rPr>
        <w:t>codicistica</w:t>
      </w:r>
      <w:proofErr w:type="spellEnd"/>
      <w:r w:rsidRPr="00C87732">
        <w:rPr>
          <w:rFonts w:ascii="Times New Roman" w:hAnsi="Times New Roman" w:cs="Times New Roman"/>
          <w:sz w:val="28"/>
          <w:szCs w:val="28"/>
        </w:rPr>
        <w:t xml:space="preserve"> a quelle attività contrattuali volte all’acquisizione di beni o servizi per l’appunto strumentali all’attività propria dei settori speciali</w:t>
      </w:r>
      <w:r w:rsidR="003238A9" w:rsidRPr="00C87732">
        <w:rPr>
          <w:rFonts w:ascii="Times New Roman" w:hAnsi="Times New Roman" w:cs="Times New Roman"/>
          <w:sz w:val="28"/>
          <w:szCs w:val="28"/>
        </w:rPr>
        <w:t>.</w:t>
      </w:r>
    </w:p>
    <w:p w:rsidR="003238A9" w:rsidRPr="00C87732" w:rsidRDefault="004B0C44" w:rsidP="00AE2AB1">
      <w:pPr>
        <w:jc w:val="both"/>
        <w:rPr>
          <w:rFonts w:ascii="Times New Roman" w:hAnsi="Times New Roman" w:cs="Times New Roman"/>
          <w:sz w:val="28"/>
          <w:szCs w:val="28"/>
        </w:rPr>
      </w:pPr>
      <w:r w:rsidRPr="00C87732">
        <w:rPr>
          <w:rFonts w:ascii="Times New Roman" w:hAnsi="Times New Roman" w:cs="Times New Roman"/>
          <w:sz w:val="28"/>
          <w:szCs w:val="28"/>
        </w:rPr>
        <w:t xml:space="preserve">Nella giurisprudenza amministrativa un ancoraggio di riferimento rimane tutt’oggi la sentenza dell’Adunanza Plenaria del </w:t>
      </w:r>
      <w:proofErr w:type="spellStart"/>
      <w:r w:rsidRPr="00C87732">
        <w:rPr>
          <w:rFonts w:ascii="Times New Roman" w:hAnsi="Times New Roman" w:cs="Times New Roman"/>
          <w:sz w:val="28"/>
          <w:szCs w:val="28"/>
        </w:rPr>
        <w:t>Cons</w:t>
      </w:r>
      <w:proofErr w:type="spellEnd"/>
      <w:r w:rsidRPr="00C87732">
        <w:rPr>
          <w:rFonts w:ascii="Times New Roman" w:hAnsi="Times New Roman" w:cs="Times New Roman"/>
          <w:sz w:val="28"/>
          <w:szCs w:val="28"/>
        </w:rPr>
        <w:t>. Stato n. 16/2011. Quest’ultima sentenza ha evidenziato la necessità di un approccio ermeneutico restrittivo volto a verificare la sussistenza di un rapporto “strumentale”</w:t>
      </w:r>
      <w:r w:rsidR="008C0F66" w:rsidRPr="00C87732">
        <w:rPr>
          <w:rFonts w:ascii="Times New Roman" w:hAnsi="Times New Roman" w:cs="Times New Roman"/>
          <w:sz w:val="28"/>
          <w:szCs w:val="28"/>
        </w:rPr>
        <w:t xml:space="preserve"> </w:t>
      </w:r>
      <w:r w:rsidRPr="00C87732">
        <w:rPr>
          <w:rFonts w:ascii="Times New Roman" w:hAnsi="Times New Roman" w:cs="Times New Roman"/>
          <w:sz w:val="28"/>
          <w:szCs w:val="28"/>
        </w:rPr>
        <w:t>tra appalto da aggiudicare e settore speciale. Sarebbe necessaria la “finalizzazione del servizio agli scopi propri (core business) dell’attività speciale” e un rapporto di “mezzo a fine”. In concreto, il crit</w:t>
      </w:r>
      <w:r w:rsidR="008C0F66" w:rsidRPr="00C87732">
        <w:rPr>
          <w:rFonts w:ascii="Times New Roman" w:hAnsi="Times New Roman" w:cs="Times New Roman"/>
          <w:sz w:val="28"/>
          <w:szCs w:val="28"/>
        </w:rPr>
        <w:t>erio non è stato ritenuto soddi</w:t>
      </w:r>
      <w:r w:rsidRPr="00C87732">
        <w:rPr>
          <w:rFonts w:ascii="Times New Roman" w:hAnsi="Times New Roman" w:cs="Times New Roman"/>
          <w:sz w:val="28"/>
          <w:szCs w:val="28"/>
        </w:rPr>
        <w:t>sfatto nel caso di appalto di servizi di vigilanza degli uffici amministrativi</w:t>
      </w:r>
      <w:r w:rsidR="008C0F66" w:rsidRPr="00C87732">
        <w:rPr>
          <w:rFonts w:ascii="Times New Roman" w:hAnsi="Times New Roman" w:cs="Times New Roman"/>
          <w:sz w:val="28"/>
          <w:szCs w:val="28"/>
        </w:rPr>
        <w:t xml:space="preserve"> di un ente aggiudicatore opera</w:t>
      </w:r>
      <w:r w:rsidRPr="00C87732">
        <w:rPr>
          <w:rFonts w:ascii="Times New Roman" w:hAnsi="Times New Roman" w:cs="Times New Roman"/>
          <w:sz w:val="28"/>
          <w:szCs w:val="28"/>
        </w:rPr>
        <w:t>tivo nel settore de</w:t>
      </w:r>
      <w:r w:rsidR="008C0F66" w:rsidRPr="00C87732">
        <w:rPr>
          <w:rFonts w:ascii="Times New Roman" w:hAnsi="Times New Roman" w:cs="Times New Roman"/>
          <w:sz w:val="28"/>
          <w:szCs w:val="28"/>
        </w:rPr>
        <w:t>lla estrazione e commercializza</w:t>
      </w:r>
      <w:r w:rsidRPr="00C87732">
        <w:rPr>
          <w:rFonts w:ascii="Times New Roman" w:hAnsi="Times New Roman" w:cs="Times New Roman"/>
          <w:sz w:val="28"/>
          <w:szCs w:val="28"/>
        </w:rPr>
        <w:t xml:space="preserve">zione del petrolio e del gas. Diverso sarebbe stato il caso, afferma la sentenza, del servizio di vigilanza di una rete energetica. Peraltro, la pronuncia ha osservato incidentalmente </w:t>
      </w:r>
      <w:proofErr w:type="gramStart"/>
      <w:r w:rsidRPr="00C87732">
        <w:rPr>
          <w:rFonts w:ascii="Times New Roman" w:hAnsi="Times New Roman" w:cs="Times New Roman"/>
          <w:sz w:val="28"/>
          <w:szCs w:val="28"/>
        </w:rPr>
        <w:t>e</w:t>
      </w:r>
      <w:proofErr w:type="gramEnd"/>
      <w:r w:rsidRPr="00C87732">
        <w:rPr>
          <w:rFonts w:ascii="Times New Roman" w:hAnsi="Times New Roman" w:cs="Times New Roman"/>
          <w:sz w:val="28"/>
          <w:szCs w:val="28"/>
        </w:rPr>
        <w:t xml:space="preserve"> in senso ancor più restrittivo che la garanzia di sicurezza degli uffici non è esclusiva del settore, né può essere inclusa nella gestione del servizio. Sulla scia di quest’orientamento è stato ritenuto non strumentale al settore speciale della produzione ed erogazione di energia elettrica, l’appalto avente ad oggetto la sorveglianza degli uffici amministrativi e, sia pure in parte minore, anche dei siti di produzione energetica. Quest’ultima sentenza, a ben vedere, è ancor più riduttiva del precedente dell’Adunanza Plenaria sopra richiamato. Infatti, ha ritenuto che l’attività di vigilanza oggetto dell’appalto non fosse qualificabile come “vigilanza funzionale” della rete energetica. Non si trattava, cioè, di una vigilanza volta ad assicurare la continuità nella produzione ed erogazione di energia elettrica, ma destinata ad assicurare l’integrità del patrimonio aziendale dell’ente aggiudicatore nel suo complesso, attraverso la sorveglianza fisica di tutti gli </w:t>
      </w:r>
      <w:proofErr w:type="spellStart"/>
      <w:r w:rsidRPr="00C87732">
        <w:rPr>
          <w:rFonts w:ascii="Times New Roman" w:hAnsi="Times New Roman" w:cs="Times New Roman"/>
          <w:sz w:val="28"/>
          <w:szCs w:val="28"/>
        </w:rPr>
        <w:t>asset</w:t>
      </w:r>
      <w:proofErr w:type="spellEnd"/>
      <w:r w:rsidRPr="00C87732">
        <w:rPr>
          <w:rFonts w:ascii="Times New Roman" w:hAnsi="Times New Roman" w:cs="Times New Roman"/>
          <w:sz w:val="28"/>
          <w:szCs w:val="28"/>
        </w:rPr>
        <w:t xml:space="preserve">. Peraltro, nel motivare la conclusione di non includere l’appalto nel settore </w:t>
      </w:r>
      <w:r w:rsidR="008C0F66" w:rsidRPr="00C87732">
        <w:rPr>
          <w:rFonts w:ascii="Times New Roman" w:hAnsi="Times New Roman" w:cs="Times New Roman"/>
          <w:sz w:val="28"/>
          <w:szCs w:val="28"/>
        </w:rPr>
        <w:t>speciale, ha introdotto una pre</w:t>
      </w:r>
      <w:r w:rsidRPr="00C87732">
        <w:rPr>
          <w:rFonts w:ascii="Times New Roman" w:hAnsi="Times New Roman" w:cs="Times New Roman"/>
          <w:sz w:val="28"/>
          <w:szCs w:val="28"/>
        </w:rPr>
        <w:t>cisazione ulteriormente restrittiva al principio affermato dalla sopra richiamata sentenza dell’Adunanza Plenaria. Ha osservato, infatti, che l’attività di produzione può essere in ipotesi svolta anche senza la sorveglianza fisica degli impianti e che per tale ragione non sarebbe ravvisabile il nesso di strumentalità. In materia aeroportuale, il giudice amministrativo ha affermato che devono ritenersi incluse nel perimetro della definizione tutte</w:t>
      </w:r>
      <w:r w:rsidR="008C0F66" w:rsidRPr="00C87732">
        <w:rPr>
          <w:rFonts w:ascii="Times New Roman" w:hAnsi="Times New Roman" w:cs="Times New Roman"/>
          <w:sz w:val="28"/>
          <w:szCs w:val="28"/>
        </w:rPr>
        <w:t xml:space="preserve"> le attività necessarie a soddi</w:t>
      </w:r>
      <w:r w:rsidRPr="00C87732">
        <w:rPr>
          <w:rFonts w:ascii="Times New Roman" w:hAnsi="Times New Roman" w:cs="Times New Roman"/>
          <w:sz w:val="28"/>
          <w:szCs w:val="28"/>
        </w:rPr>
        <w:t>sfare le esigenze connesse al traffico aereo, dal momento dell’atterr</w:t>
      </w:r>
      <w:r w:rsidR="008C0F66" w:rsidRPr="00C87732">
        <w:rPr>
          <w:rFonts w:ascii="Times New Roman" w:hAnsi="Times New Roman" w:cs="Times New Roman"/>
          <w:sz w:val="28"/>
          <w:szCs w:val="28"/>
        </w:rPr>
        <w:t>aggio a quello del decollo, non</w:t>
      </w:r>
      <w:r w:rsidRPr="00C87732">
        <w:rPr>
          <w:rFonts w:ascii="Times New Roman" w:hAnsi="Times New Roman" w:cs="Times New Roman"/>
          <w:sz w:val="28"/>
          <w:szCs w:val="28"/>
        </w:rPr>
        <w:t>ché quelle immediatamente e direttamente correlate allo svolgimento del se</w:t>
      </w:r>
      <w:r w:rsidR="008C0F66" w:rsidRPr="00C87732">
        <w:rPr>
          <w:rFonts w:ascii="Times New Roman" w:hAnsi="Times New Roman" w:cs="Times New Roman"/>
          <w:sz w:val="28"/>
          <w:szCs w:val="28"/>
        </w:rPr>
        <w:t>rvizio di trasporto, che riguar</w:t>
      </w:r>
      <w:r w:rsidRPr="00C87732">
        <w:rPr>
          <w:rFonts w:ascii="Times New Roman" w:hAnsi="Times New Roman" w:cs="Times New Roman"/>
          <w:sz w:val="28"/>
          <w:szCs w:val="28"/>
        </w:rPr>
        <w:t>dano merci e passeggeri. Il principio fa riferi</w:t>
      </w:r>
      <w:r w:rsidR="008C0F66" w:rsidRPr="00C87732">
        <w:rPr>
          <w:rFonts w:ascii="Times New Roman" w:hAnsi="Times New Roman" w:cs="Times New Roman"/>
          <w:sz w:val="28"/>
          <w:szCs w:val="28"/>
        </w:rPr>
        <w:t>mento a due accentuazioni ridut</w:t>
      </w:r>
      <w:r w:rsidRPr="00C87732">
        <w:rPr>
          <w:rFonts w:ascii="Times New Roman" w:hAnsi="Times New Roman" w:cs="Times New Roman"/>
          <w:sz w:val="28"/>
          <w:szCs w:val="28"/>
        </w:rPr>
        <w:t>tive, esigendo una correlazione immediata e diretta dell’appalto rispetto al servizio di trasporto. Su queste basi ha negato</w:t>
      </w:r>
      <w:r w:rsidR="008C0F66" w:rsidRPr="00C87732">
        <w:rPr>
          <w:rFonts w:ascii="Times New Roman" w:hAnsi="Times New Roman" w:cs="Times New Roman"/>
          <w:sz w:val="28"/>
          <w:szCs w:val="28"/>
        </w:rPr>
        <w:t xml:space="preserve"> </w:t>
      </w:r>
      <w:r w:rsidRPr="00C87732">
        <w:rPr>
          <w:rFonts w:ascii="Times New Roman" w:hAnsi="Times New Roman" w:cs="Times New Roman"/>
          <w:sz w:val="28"/>
          <w:szCs w:val="28"/>
        </w:rPr>
        <w:t xml:space="preserve">la sussistenza del nesso di strumentalità rispetto all’attività di cambiavalute. Analogo approccio ermeneutico è stato tenuto in altre situazioni più incerte. Si può discutere, ad esempio, se il servizio di gestione dei parcheggi possa essere incluso nel relativo settore speciale, definito in modo piuttosto ampio come “attività relative allo sfruttamento di un’area geografica per la messa a disposizione di aeroporti, porti marittimi o interni e di altri terminali di trasporto ai vettori aerei, marittimi e fluviali”. </w:t>
      </w:r>
    </w:p>
    <w:p w:rsidR="003238A9" w:rsidRPr="00C87732" w:rsidRDefault="004B0C44" w:rsidP="00AE2AB1">
      <w:pPr>
        <w:jc w:val="both"/>
        <w:rPr>
          <w:rFonts w:ascii="Times New Roman" w:hAnsi="Times New Roman" w:cs="Times New Roman"/>
          <w:sz w:val="28"/>
          <w:szCs w:val="28"/>
        </w:rPr>
      </w:pPr>
      <w:r w:rsidRPr="00C87732">
        <w:rPr>
          <w:rFonts w:ascii="Times New Roman" w:hAnsi="Times New Roman" w:cs="Times New Roman"/>
          <w:sz w:val="28"/>
          <w:szCs w:val="28"/>
        </w:rPr>
        <w:t>Il giudice amministrativo ha ritenuto che l’attività di gestione dei parcheggi sia estranea al settore speciale (principio esteso anche ai servizi di impacchettamento bagagli e di</w:t>
      </w:r>
      <w:r w:rsidR="003238A9" w:rsidRPr="00C87732">
        <w:rPr>
          <w:rFonts w:ascii="Times New Roman" w:hAnsi="Times New Roman" w:cs="Times New Roman"/>
          <w:sz w:val="28"/>
          <w:szCs w:val="28"/>
        </w:rPr>
        <w:t xml:space="preserve"> ristorazione) </w:t>
      </w:r>
      <w:r w:rsidR="008C0F66" w:rsidRPr="00C87732">
        <w:rPr>
          <w:rFonts w:ascii="Times New Roman" w:hAnsi="Times New Roman" w:cs="Times New Roman"/>
          <w:sz w:val="28"/>
          <w:szCs w:val="28"/>
        </w:rPr>
        <w:t>e l’orienta</w:t>
      </w:r>
      <w:r w:rsidRPr="00C87732">
        <w:rPr>
          <w:rFonts w:ascii="Times New Roman" w:hAnsi="Times New Roman" w:cs="Times New Roman"/>
          <w:sz w:val="28"/>
          <w:szCs w:val="28"/>
        </w:rPr>
        <w:t>mento è stato confermato anche dalla Sezioni Unite, in quanto attività non rientrante nei servizi c.d. “</w:t>
      </w:r>
      <w:proofErr w:type="spellStart"/>
      <w:r w:rsidRPr="00C87732">
        <w:rPr>
          <w:rFonts w:ascii="Times New Roman" w:hAnsi="Times New Roman" w:cs="Times New Roman"/>
          <w:sz w:val="28"/>
          <w:szCs w:val="28"/>
        </w:rPr>
        <w:t>aviation</w:t>
      </w:r>
      <w:proofErr w:type="spellEnd"/>
      <w:r w:rsidRPr="00C87732">
        <w:rPr>
          <w:rFonts w:ascii="Times New Roman" w:hAnsi="Times New Roman" w:cs="Times New Roman"/>
          <w:sz w:val="28"/>
          <w:szCs w:val="28"/>
        </w:rPr>
        <w:t xml:space="preserve">”, ovvero nell’elenco tassativo dei servizi di assistenza a terra. </w:t>
      </w:r>
    </w:p>
    <w:p w:rsidR="003238A9" w:rsidRPr="00C87732" w:rsidRDefault="004B0C44" w:rsidP="00AE2AB1">
      <w:pPr>
        <w:jc w:val="both"/>
        <w:rPr>
          <w:rFonts w:ascii="Times New Roman" w:hAnsi="Times New Roman" w:cs="Times New Roman"/>
          <w:sz w:val="28"/>
          <w:szCs w:val="28"/>
        </w:rPr>
      </w:pPr>
      <w:r w:rsidRPr="00C87732">
        <w:rPr>
          <w:rFonts w:ascii="Times New Roman" w:hAnsi="Times New Roman" w:cs="Times New Roman"/>
          <w:sz w:val="28"/>
          <w:szCs w:val="28"/>
        </w:rPr>
        <w:t>Peraltro, pur a fronte della rilevanza quantitativa del fenomeno, tale da far configurare il servizio di parcheggio come un servizio ormai necessario, nell’uso comune, per poter fruire degli stessi servizi di volo, la sentenza ha rimarcato in senso opposto il carattere eventuale e non necessario del servizio a</w:t>
      </w:r>
      <w:r w:rsidR="003238A9" w:rsidRPr="00C87732">
        <w:rPr>
          <w:rFonts w:ascii="Times New Roman" w:hAnsi="Times New Roman" w:cs="Times New Roman"/>
          <w:sz w:val="28"/>
          <w:szCs w:val="28"/>
        </w:rPr>
        <w:t xml:space="preserve"> </w:t>
      </w:r>
      <w:r w:rsidRPr="00C87732">
        <w:rPr>
          <w:rFonts w:ascii="Times New Roman" w:hAnsi="Times New Roman" w:cs="Times New Roman"/>
          <w:sz w:val="28"/>
          <w:szCs w:val="28"/>
        </w:rPr>
        <w:t>fronte di possibili alternative. A fronte di queste applicazioni riduttive, si registrano tendenze contrarie</w:t>
      </w:r>
      <w:r w:rsidR="008C0F66" w:rsidRPr="00C87732">
        <w:rPr>
          <w:rFonts w:ascii="Times New Roman" w:hAnsi="Times New Roman" w:cs="Times New Roman"/>
          <w:sz w:val="28"/>
          <w:szCs w:val="28"/>
        </w:rPr>
        <w:t xml:space="preserve"> di una maggiore estensione nel</w:t>
      </w:r>
      <w:r w:rsidRPr="00C87732">
        <w:rPr>
          <w:rFonts w:ascii="Times New Roman" w:hAnsi="Times New Roman" w:cs="Times New Roman"/>
          <w:sz w:val="28"/>
          <w:szCs w:val="28"/>
        </w:rPr>
        <w:t>l’ambito di applicazione del Codice. Questa tendenza si snoda, a ben vedere, su due direttrici. Da un lato, alcune pronunce hanno manifestato frontali perplessità rispetto all’orientamento generale che restringe il</w:t>
      </w:r>
      <w:r w:rsidR="005B1740" w:rsidRPr="00C87732">
        <w:rPr>
          <w:rFonts w:ascii="Times New Roman" w:hAnsi="Times New Roman" w:cs="Times New Roman"/>
          <w:sz w:val="28"/>
          <w:szCs w:val="28"/>
        </w:rPr>
        <w:t xml:space="preserve"> concetto di strumentalità. Dall’altro lato, più che una dilatazione in sede applicativa del concetto di strumentalità è stata sostenuta una lettura estensiva del settore speciale di riferimento. </w:t>
      </w:r>
    </w:p>
    <w:p w:rsidR="00A170B1" w:rsidRPr="00C87732" w:rsidRDefault="00A11C2E" w:rsidP="00A170B1">
      <w:pPr>
        <w:jc w:val="both"/>
        <w:rPr>
          <w:rFonts w:ascii="Times New Roman" w:hAnsi="Times New Roman" w:cs="Times New Roman"/>
          <w:sz w:val="28"/>
          <w:szCs w:val="28"/>
        </w:rPr>
      </w:pPr>
      <w:r w:rsidRPr="00C87732">
        <w:rPr>
          <w:rFonts w:ascii="Times New Roman" w:hAnsi="Times New Roman" w:cs="Times New Roman"/>
          <w:sz w:val="28"/>
          <w:szCs w:val="28"/>
        </w:rPr>
        <w:t xml:space="preserve">L’orientamento della Corte di Giustizia UE: il caso recente di Poste Italiane </w:t>
      </w:r>
      <w:r w:rsidR="00A170B1" w:rsidRPr="00C87732">
        <w:rPr>
          <w:rFonts w:ascii="Times New Roman" w:hAnsi="Times New Roman" w:cs="Times New Roman"/>
          <w:sz w:val="28"/>
          <w:szCs w:val="28"/>
        </w:rPr>
        <w:t>(Corte di Giustizia UE, C-521/18).</w:t>
      </w:r>
    </w:p>
    <w:p w:rsidR="00C87732" w:rsidRPr="00C87732" w:rsidRDefault="00A11C2E" w:rsidP="00AE2AB1">
      <w:pPr>
        <w:jc w:val="both"/>
        <w:rPr>
          <w:rFonts w:ascii="Times New Roman" w:hAnsi="Times New Roman" w:cs="Times New Roman"/>
          <w:sz w:val="28"/>
          <w:szCs w:val="28"/>
        </w:rPr>
      </w:pPr>
      <w:r w:rsidRPr="00C87732">
        <w:rPr>
          <w:rFonts w:ascii="Times New Roman" w:hAnsi="Times New Roman" w:cs="Times New Roman"/>
          <w:sz w:val="28"/>
          <w:szCs w:val="28"/>
        </w:rPr>
        <w:t xml:space="preserve">Un caso recente risolto dalla Corte di Giustizia UE ha riguardato un appalto aggiudicato nell’ambito del gruppo Poste Italiane </w:t>
      </w:r>
      <w:proofErr w:type="gramStart"/>
      <w:r w:rsidRPr="00C87732">
        <w:rPr>
          <w:rFonts w:ascii="Times New Roman" w:hAnsi="Times New Roman" w:cs="Times New Roman"/>
          <w:sz w:val="28"/>
          <w:szCs w:val="28"/>
        </w:rPr>
        <w:t>S.p.a..</w:t>
      </w:r>
      <w:proofErr w:type="gramEnd"/>
      <w:r w:rsidRPr="00C87732">
        <w:rPr>
          <w:rFonts w:ascii="Times New Roman" w:hAnsi="Times New Roman" w:cs="Times New Roman"/>
          <w:sz w:val="28"/>
          <w:szCs w:val="28"/>
        </w:rPr>
        <w:t xml:space="preserve"> In particolare, il bando di gara riguardava l’aggiudicazione del</w:t>
      </w:r>
      <w:r w:rsidR="00A170B1" w:rsidRPr="00C87732">
        <w:rPr>
          <w:rFonts w:ascii="Times New Roman" w:hAnsi="Times New Roman" w:cs="Times New Roman"/>
          <w:sz w:val="28"/>
          <w:szCs w:val="28"/>
        </w:rPr>
        <w:t xml:space="preserve"> </w:t>
      </w:r>
      <w:r w:rsidRPr="00C87732">
        <w:rPr>
          <w:rFonts w:ascii="Times New Roman" w:hAnsi="Times New Roman" w:cs="Times New Roman"/>
          <w:sz w:val="28"/>
          <w:szCs w:val="28"/>
        </w:rPr>
        <w:t>“servizio di portierato,</w:t>
      </w:r>
      <w:r w:rsidR="00A170B1" w:rsidRPr="00C87732">
        <w:rPr>
          <w:rFonts w:ascii="Times New Roman" w:hAnsi="Times New Roman" w:cs="Times New Roman"/>
          <w:sz w:val="28"/>
          <w:szCs w:val="28"/>
        </w:rPr>
        <w:t xml:space="preserve"> </w:t>
      </w:r>
      <w:r w:rsidRPr="00C87732">
        <w:rPr>
          <w:rFonts w:ascii="Times New Roman" w:hAnsi="Times New Roman" w:cs="Times New Roman"/>
          <w:sz w:val="28"/>
          <w:szCs w:val="28"/>
        </w:rPr>
        <w:t>reception e presidio varchi” per le sedi di Poste Italiane e di altre società del gruppo È pacifico che l’ente aggiudicatore Poste Italiane operi nel settore dei “servizi postali”. La posizione sostenuta da Poste Italiane in giudizio appare piuttosto estrema perché, a ben vedere, andrebbe finanche a</w:t>
      </w:r>
      <w:r w:rsidR="00A170B1" w:rsidRPr="00C87732">
        <w:rPr>
          <w:rFonts w:ascii="Times New Roman" w:hAnsi="Times New Roman" w:cs="Times New Roman"/>
          <w:sz w:val="28"/>
          <w:szCs w:val="28"/>
        </w:rPr>
        <w:t>l di là del concetto di strumen</w:t>
      </w:r>
      <w:r w:rsidRPr="00C87732">
        <w:rPr>
          <w:rFonts w:ascii="Times New Roman" w:hAnsi="Times New Roman" w:cs="Times New Roman"/>
          <w:sz w:val="28"/>
          <w:szCs w:val="28"/>
        </w:rPr>
        <w:t>talità</w:t>
      </w:r>
      <w:r w:rsidR="00A170B1" w:rsidRPr="00C87732">
        <w:rPr>
          <w:rFonts w:ascii="Times New Roman" w:hAnsi="Times New Roman" w:cs="Times New Roman"/>
          <w:sz w:val="28"/>
          <w:szCs w:val="28"/>
        </w:rPr>
        <w:t xml:space="preserve"> </w:t>
      </w:r>
      <w:r w:rsidRPr="00C87732">
        <w:rPr>
          <w:rFonts w:ascii="Times New Roman" w:hAnsi="Times New Roman" w:cs="Times New Roman"/>
          <w:sz w:val="28"/>
          <w:szCs w:val="28"/>
        </w:rPr>
        <w:t>inteso in senso stretto emerso</w:t>
      </w:r>
      <w:r w:rsidR="00A170B1" w:rsidRPr="00C87732">
        <w:rPr>
          <w:rFonts w:ascii="Times New Roman" w:hAnsi="Times New Roman" w:cs="Times New Roman"/>
          <w:sz w:val="28"/>
          <w:szCs w:val="28"/>
        </w:rPr>
        <w:t xml:space="preserve"> </w:t>
      </w:r>
      <w:r w:rsidRPr="00C87732">
        <w:rPr>
          <w:rFonts w:ascii="Times New Roman" w:hAnsi="Times New Roman" w:cs="Times New Roman"/>
          <w:sz w:val="28"/>
          <w:szCs w:val="28"/>
        </w:rPr>
        <w:t>in giurisprudenza. Ha ritenuto, infatti, che</w:t>
      </w:r>
      <w:r w:rsidR="00A170B1" w:rsidRPr="00C87732">
        <w:rPr>
          <w:rFonts w:ascii="Times New Roman" w:hAnsi="Times New Roman" w:cs="Times New Roman"/>
          <w:sz w:val="28"/>
          <w:szCs w:val="28"/>
        </w:rPr>
        <w:t xml:space="preserve"> </w:t>
      </w:r>
      <w:r w:rsidRPr="00C87732">
        <w:rPr>
          <w:rFonts w:ascii="Times New Roman" w:hAnsi="Times New Roman" w:cs="Times New Roman"/>
          <w:sz w:val="28"/>
          <w:szCs w:val="28"/>
        </w:rPr>
        <w:t xml:space="preserve">la normativa sugli appalti nei settori speciali si debba applicare solo alle attività che costituiscono l’essenza di tali settori. In sostanza, secondo tale prospettazione la normativa sugli appalti nei settori speciali dovrebbe applicarsi quasi esclusivamente nelle ipotesi teoriche di subappalto dell’attività che costituisce il settore speciale stesso. L’Avvocato generale non ha condiviso questa posizione sulla base di due argomenti </w:t>
      </w:r>
      <w:proofErr w:type="spellStart"/>
      <w:r w:rsidRPr="00C87732">
        <w:rPr>
          <w:rFonts w:ascii="Times New Roman" w:hAnsi="Times New Roman" w:cs="Times New Roman"/>
          <w:sz w:val="28"/>
          <w:szCs w:val="28"/>
        </w:rPr>
        <w:t>destruens</w:t>
      </w:r>
      <w:proofErr w:type="spellEnd"/>
      <w:r w:rsidRPr="00C87732">
        <w:rPr>
          <w:rFonts w:ascii="Times New Roman" w:hAnsi="Times New Roman" w:cs="Times New Roman"/>
          <w:sz w:val="28"/>
          <w:szCs w:val="28"/>
        </w:rPr>
        <w:t xml:space="preserve"> che hanno lasciato infine spazio a una soluzione </w:t>
      </w:r>
      <w:proofErr w:type="spellStart"/>
      <w:r w:rsidRPr="00C87732">
        <w:rPr>
          <w:rFonts w:ascii="Times New Roman" w:hAnsi="Times New Roman" w:cs="Times New Roman"/>
          <w:sz w:val="28"/>
          <w:szCs w:val="28"/>
        </w:rPr>
        <w:t>construens</w:t>
      </w:r>
      <w:proofErr w:type="spellEnd"/>
      <w:r w:rsidRPr="00C87732">
        <w:rPr>
          <w:rFonts w:ascii="Times New Roman" w:hAnsi="Times New Roman" w:cs="Times New Roman"/>
          <w:sz w:val="28"/>
          <w:szCs w:val="28"/>
        </w:rPr>
        <w:t xml:space="preserve"> piuttosto espansiva. In particolare, da un lato, la formulazione letterale della pertinente disposizione della Direttiva non si limita a considerare gli appalti relativi alle attività ricadenti nei settori speciali in senso stretto (nel caso di specie i servizi postali), ma più ampiamente a tutti gli appalti che siano “destinati all’esercizio” di tali attività. Dall’altro lato, ha sostenuto l’argomento logico secondo cui, se la disposizione venisse interpretata in senso riduttivo, come ha sostenuto Poste Italiane, la disciplina sui settori speciali sarebbe svuotata di contenuto. Infatti, tali attività sono generalmente svolte dagli enti aggiudicatori senza bisogno di appaltarle e, dunque, sostenendo tale interpretazione la norma non avrebbe alcuno spazio applicativo in concreto. Nella pars </w:t>
      </w:r>
      <w:proofErr w:type="spellStart"/>
      <w:r w:rsidRPr="00C87732">
        <w:rPr>
          <w:rFonts w:ascii="Times New Roman" w:hAnsi="Times New Roman" w:cs="Times New Roman"/>
          <w:sz w:val="28"/>
          <w:szCs w:val="28"/>
        </w:rPr>
        <w:t>construen</w:t>
      </w:r>
      <w:r w:rsidR="00A170B1" w:rsidRPr="00C87732">
        <w:rPr>
          <w:rFonts w:ascii="Times New Roman" w:hAnsi="Times New Roman" w:cs="Times New Roman"/>
          <w:sz w:val="28"/>
          <w:szCs w:val="28"/>
        </w:rPr>
        <w:t>s</w:t>
      </w:r>
      <w:proofErr w:type="spellEnd"/>
      <w:r w:rsidR="00A170B1" w:rsidRPr="00C87732">
        <w:rPr>
          <w:rFonts w:ascii="Times New Roman" w:hAnsi="Times New Roman" w:cs="Times New Roman"/>
          <w:sz w:val="28"/>
          <w:szCs w:val="28"/>
        </w:rPr>
        <w:t>, l’Avvocato generale ha soste</w:t>
      </w:r>
      <w:r w:rsidRPr="00C87732">
        <w:rPr>
          <w:rFonts w:ascii="Times New Roman" w:hAnsi="Times New Roman" w:cs="Times New Roman"/>
          <w:sz w:val="28"/>
          <w:szCs w:val="28"/>
        </w:rPr>
        <w:t>nuto che gli appalti rilevanti sarebbero quelli destinati a “rendere possibile” la prestazione delle attività nel settore postale. Non solo, dunque, gli appalti aggiudicati nell’“amb</w:t>
      </w:r>
      <w:r w:rsidR="00A170B1" w:rsidRPr="00C87732">
        <w:rPr>
          <w:rFonts w:ascii="Times New Roman" w:hAnsi="Times New Roman" w:cs="Times New Roman"/>
          <w:sz w:val="28"/>
          <w:szCs w:val="28"/>
        </w:rPr>
        <w:t>ito” di una delle attività elen</w:t>
      </w:r>
      <w:r w:rsidRPr="00C87732">
        <w:rPr>
          <w:rFonts w:ascii="Times New Roman" w:hAnsi="Times New Roman" w:cs="Times New Roman"/>
          <w:sz w:val="28"/>
          <w:szCs w:val="28"/>
        </w:rPr>
        <w:t xml:space="preserve">cate, ma anche quelli aggiudicati nell’“esercizio” di tali attività. Nel fornire una indicazione più concreta in ordine al rapporto di connessione che dovrebbe sussistere tra l’appalto da aggiudicare e il settore speciale di riferimento, l’Avvocato generale si focalizza non solo sulle attività “necessarie”, ma anche a quelle “abitualmente connesse”. Non solo, dunque, quelle attività senza le quali il servizio non può essere svolto, ma anche quelle che, </w:t>
      </w:r>
      <w:r w:rsidR="00A170B1" w:rsidRPr="00C87732">
        <w:rPr>
          <w:rFonts w:ascii="Times New Roman" w:hAnsi="Times New Roman" w:cs="Times New Roman"/>
          <w:sz w:val="28"/>
          <w:szCs w:val="28"/>
        </w:rPr>
        <w:t>anche se non strettamente neces</w:t>
      </w:r>
      <w:r w:rsidRPr="00C87732">
        <w:rPr>
          <w:rFonts w:ascii="Times New Roman" w:hAnsi="Times New Roman" w:cs="Times New Roman"/>
          <w:sz w:val="28"/>
          <w:szCs w:val="28"/>
        </w:rPr>
        <w:t xml:space="preserve">sarie, sono normalmente e abitualmente connesse alla prestazione del servizio. Secondo l’Avvocato generale, inoltre, la funzionalità del singolo appalto rispetto al settore speciale di riferimento non deve essere necessariamente “esclusiva”. Può capitare, infatti, che alcune attività abbiano un carattere servente trasversale a più servizi. A questo riguardo viene speso un argomento di carattere sistematico ricavato nell’ambito disciplina sugli appalti speciali. </w:t>
      </w:r>
      <w:r w:rsidR="00A170B1" w:rsidRPr="00C87732">
        <w:rPr>
          <w:rFonts w:ascii="Times New Roman" w:hAnsi="Times New Roman" w:cs="Times New Roman"/>
          <w:sz w:val="28"/>
          <w:szCs w:val="28"/>
        </w:rPr>
        <w:t>In particolare, la stessa Diret</w:t>
      </w:r>
      <w:r w:rsidRPr="00C87732">
        <w:rPr>
          <w:rFonts w:ascii="Times New Roman" w:hAnsi="Times New Roman" w:cs="Times New Roman"/>
          <w:sz w:val="28"/>
          <w:szCs w:val="28"/>
        </w:rPr>
        <w:t>tiva disciplina l’ipotesi dell’appalto misto, stabilendo l’applicazione del re</w:t>
      </w:r>
      <w:r w:rsidR="00A170B1" w:rsidRPr="00C87732">
        <w:rPr>
          <w:rFonts w:ascii="Times New Roman" w:hAnsi="Times New Roman" w:cs="Times New Roman"/>
          <w:sz w:val="28"/>
          <w:szCs w:val="28"/>
        </w:rPr>
        <w:t>gime previsto per l’appalto pre</w:t>
      </w:r>
      <w:r w:rsidRPr="00C87732">
        <w:rPr>
          <w:rFonts w:ascii="Times New Roman" w:hAnsi="Times New Roman" w:cs="Times New Roman"/>
          <w:sz w:val="28"/>
          <w:szCs w:val="28"/>
        </w:rPr>
        <w:t>valente. D’altra parte, gli enti aggiudicatori hanno la possibilità di indire appalti separati (64). La sentenza ha ader</w:t>
      </w:r>
      <w:r w:rsidR="00A170B1" w:rsidRPr="00C87732">
        <w:rPr>
          <w:rFonts w:ascii="Times New Roman" w:hAnsi="Times New Roman" w:cs="Times New Roman"/>
          <w:sz w:val="28"/>
          <w:szCs w:val="28"/>
        </w:rPr>
        <w:t>ito sostanzialmente alle conclu</w:t>
      </w:r>
      <w:r w:rsidRPr="00C87732">
        <w:rPr>
          <w:rFonts w:ascii="Times New Roman" w:hAnsi="Times New Roman" w:cs="Times New Roman"/>
          <w:sz w:val="28"/>
          <w:szCs w:val="28"/>
        </w:rPr>
        <w:t>sioni dell’Avvocato generale, anche se con un approccio lieveme</w:t>
      </w:r>
      <w:r w:rsidR="00A170B1" w:rsidRPr="00C87732">
        <w:rPr>
          <w:rFonts w:ascii="Times New Roman" w:hAnsi="Times New Roman" w:cs="Times New Roman"/>
          <w:sz w:val="28"/>
          <w:szCs w:val="28"/>
        </w:rPr>
        <w:t>nte meno espansivo. In par</w:t>
      </w:r>
      <w:r w:rsidRPr="00C87732">
        <w:rPr>
          <w:rFonts w:ascii="Times New Roman" w:hAnsi="Times New Roman" w:cs="Times New Roman"/>
          <w:sz w:val="28"/>
          <w:szCs w:val="28"/>
        </w:rPr>
        <w:t>ticolare, la sentenza ritiene che non sia sufficiente che i servizi oggetto dell’appalto contribuiscano “positivamente” all’attività dell’ente aggiudicatore, ma che servano “effett</w:t>
      </w:r>
      <w:r w:rsidR="00A170B1" w:rsidRPr="00C87732">
        <w:rPr>
          <w:rFonts w:ascii="Times New Roman" w:hAnsi="Times New Roman" w:cs="Times New Roman"/>
          <w:sz w:val="28"/>
          <w:szCs w:val="28"/>
        </w:rPr>
        <w:t>ivamente” all’esercizio dell’at</w:t>
      </w:r>
      <w:r w:rsidRPr="00C87732">
        <w:rPr>
          <w:rFonts w:ascii="Times New Roman" w:hAnsi="Times New Roman" w:cs="Times New Roman"/>
          <w:sz w:val="28"/>
          <w:szCs w:val="28"/>
        </w:rPr>
        <w:t>tività rientrante nel settore speciale, consentendo la realizzazione in “maniera adeguata” di tale attività, tenuto conto delle sue normali condizioni di esercizio. Rispetto al criter</w:t>
      </w:r>
      <w:r w:rsidR="00A170B1" w:rsidRPr="00C87732">
        <w:rPr>
          <w:rFonts w:ascii="Times New Roman" w:hAnsi="Times New Roman" w:cs="Times New Roman"/>
          <w:sz w:val="28"/>
          <w:szCs w:val="28"/>
        </w:rPr>
        <w:t>io più ampio proposto dall’Avvo</w:t>
      </w:r>
      <w:r w:rsidRPr="00C87732">
        <w:rPr>
          <w:rFonts w:ascii="Times New Roman" w:hAnsi="Times New Roman" w:cs="Times New Roman"/>
          <w:sz w:val="28"/>
          <w:szCs w:val="28"/>
        </w:rPr>
        <w:t>cato generale, che avrebbe portato ad includere nei settori speciali appalti connessi anche per ragioni di mera occasional</w:t>
      </w:r>
      <w:r w:rsidR="00A170B1" w:rsidRPr="00C87732">
        <w:rPr>
          <w:rFonts w:ascii="Times New Roman" w:hAnsi="Times New Roman" w:cs="Times New Roman"/>
          <w:sz w:val="28"/>
          <w:szCs w:val="28"/>
        </w:rPr>
        <w:t>ità, la sentenza opera un tempe</w:t>
      </w:r>
      <w:r w:rsidRPr="00C87732">
        <w:rPr>
          <w:rFonts w:ascii="Times New Roman" w:hAnsi="Times New Roman" w:cs="Times New Roman"/>
          <w:sz w:val="28"/>
          <w:szCs w:val="28"/>
        </w:rPr>
        <w:t>ramento richiedendo in sostanza la verifica di una connessione funzionale effettiva, ossia un contributo causale dell’appalto rispetto all’adeguato svolgimento dell’attività rientrante nel settore speciale. La sentenza, seppur temperante rispetto al criterio regolatore suggerito dall’Avvocato generale, sembra comunque avere una portata più espansiva rispetto all’orientamento del giudice nazionale. Sotto altro profilo, la sentenza conferma le conclusioni dell’Avvocato generale sull’irrilevanza della circostanza che l’appalto abbia carattere trasversale e, dunque, sia</w:t>
      </w:r>
      <w:r w:rsidR="00A170B1" w:rsidRPr="00C87732">
        <w:rPr>
          <w:rFonts w:ascii="Times New Roman" w:hAnsi="Times New Roman" w:cs="Times New Roman"/>
          <w:sz w:val="28"/>
          <w:szCs w:val="28"/>
        </w:rPr>
        <w:t xml:space="preserve"> </w:t>
      </w:r>
      <w:r w:rsidRPr="00C87732">
        <w:rPr>
          <w:rFonts w:ascii="Times New Roman" w:hAnsi="Times New Roman" w:cs="Times New Roman"/>
          <w:sz w:val="28"/>
          <w:szCs w:val="28"/>
        </w:rPr>
        <w:t>funzionale all’esercizio di più attività, alcune escluse dalla normativa sugli appalti. La sentenza ha rilevato che dovrebbe applicarsi la disciplina</w:t>
      </w:r>
      <w:r w:rsidR="00A170B1" w:rsidRPr="00C87732">
        <w:rPr>
          <w:rFonts w:ascii="Times New Roman" w:hAnsi="Times New Roman" w:cs="Times New Roman"/>
          <w:sz w:val="28"/>
          <w:szCs w:val="28"/>
        </w:rPr>
        <w:t xml:space="preserve"> riferibile all’attività princi</w:t>
      </w:r>
      <w:r w:rsidRPr="00C87732">
        <w:rPr>
          <w:rFonts w:ascii="Times New Roman" w:hAnsi="Times New Roman" w:cs="Times New Roman"/>
          <w:sz w:val="28"/>
          <w:szCs w:val="28"/>
        </w:rPr>
        <w:t xml:space="preserve">pale, ma nel caso di specie non era stata fornita </w:t>
      </w:r>
      <w:r w:rsidR="00A170B1" w:rsidRPr="00C87732">
        <w:rPr>
          <w:rFonts w:ascii="Times New Roman" w:hAnsi="Times New Roman" w:cs="Times New Roman"/>
          <w:sz w:val="28"/>
          <w:szCs w:val="28"/>
        </w:rPr>
        <w:t>a</w:t>
      </w:r>
      <w:r w:rsidRPr="00C87732">
        <w:rPr>
          <w:rFonts w:ascii="Times New Roman" w:hAnsi="Times New Roman" w:cs="Times New Roman"/>
          <w:sz w:val="28"/>
          <w:szCs w:val="28"/>
        </w:rPr>
        <w:t>lcuna prova che l’appalto di cui si trattava fosse principalmente destinato ad attività non rientranti nell’ambito di applicazione della Direttiva. In definitiva, rispetto alla giurisprudenza nazionale, la portata espansiva della sentenza si coglie sotto diversi punti di vista. A tal riguardo, l’appalto da affidare non deve essere “indispensabile” rispetto all’attività ricadente nel settore speciale, ma solo “rilevante” rispetto all’“adeguato” svolgimento della stessa; “adeguatezza” che va commisurata alle “normali condizioni di esercizio” e, dunque, a ciò che ordinariamente compone l’attività ricadente nei settori speciali. Tale rilevanza può essere anche “mediata”, nel senso che può riguardare la fase preparatoria collocata a monte della catena produttiva, come nel caso di specie è l’attività di direzione aziendale rispetto al servizio postale. Se, da un lato, si può registrare un orientamento più espansivo della Corte di Giustizia; dall’altro lato, non è agevole individuare compiutamente i suoi punti di caduta concreti. Le indicazioni della Corte, infatti, forniscono sì un contributo più puntuale, ma ciò avviene pur sempre - e in parte si tratta di un fattore ineliminabile - attraverso il ricorso a concetti giuridici indetermina</w:t>
      </w:r>
      <w:r w:rsidR="00086545" w:rsidRPr="00C87732">
        <w:rPr>
          <w:rFonts w:ascii="Times New Roman" w:hAnsi="Times New Roman" w:cs="Times New Roman"/>
          <w:sz w:val="28"/>
          <w:szCs w:val="28"/>
        </w:rPr>
        <w:t>ti, peraltro di carattere “empi</w:t>
      </w:r>
      <w:r w:rsidRPr="00C87732">
        <w:rPr>
          <w:rFonts w:ascii="Times New Roman" w:hAnsi="Times New Roman" w:cs="Times New Roman"/>
          <w:sz w:val="28"/>
          <w:szCs w:val="28"/>
        </w:rPr>
        <w:t xml:space="preserve">rico”, rimessi cioè ad apprezzamenti fattuali, come nel caso del concetto di “adeguatezza” rispetto alle “normali condizioni di esercizio”. </w:t>
      </w:r>
    </w:p>
    <w:p w:rsidR="00AE2AB1" w:rsidRPr="00C87732" w:rsidRDefault="00AE2AB1" w:rsidP="00AE2AB1">
      <w:pPr>
        <w:jc w:val="both"/>
        <w:rPr>
          <w:rFonts w:ascii="Times New Roman" w:hAnsi="Times New Roman" w:cs="Times New Roman"/>
          <w:sz w:val="28"/>
          <w:szCs w:val="28"/>
        </w:rPr>
      </w:pPr>
    </w:p>
    <w:p w:rsidR="00173EEC" w:rsidRPr="00C87732" w:rsidRDefault="00173EEC" w:rsidP="00AE2AB1">
      <w:pPr>
        <w:jc w:val="both"/>
        <w:rPr>
          <w:rFonts w:ascii="Times New Roman" w:hAnsi="Times New Roman" w:cs="Times New Roman"/>
          <w:sz w:val="28"/>
          <w:szCs w:val="28"/>
        </w:rPr>
      </w:pPr>
    </w:p>
    <w:p w:rsidR="00173EEC" w:rsidRPr="00C87732" w:rsidRDefault="00173EEC" w:rsidP="00AE2AB1">
      <w:pPr>
        <w:jc w:val="both"/>
        <w:rPr>
          <w:rFonts w:ascii="Times New Roman" w:hAnsi="Times New Roman" w:cs="Times New Roman"/>
          <w:sz w:val="28"/>
          <w:szCs w:val="28"/>
        </w:rPr>
      </w:pPr>
    </w:p>
    <w:p w:rsidR="00AE2AB1" w:rsidRPr="00AE2AB1" w:rsidRDefault="00AE2AB1" w:rsidP="00AE2AB1">
      <w:pPr>
        <w:jc w:val="both"/>
        <w:rPr>
          <w:rFonts w:ascii="Times New Roman" w:hAnsi="Times New Roman" w:cs="Times New Roman"/>
          <w:b/>
          <w:sz w:val="28"/>
          <w:szCs w:val="28"/>
        </w:rPr>
      </w:pPr>
    </w:p>
    <w:sectPr w:rsidR="00AE2AB1" w:rsidRPr="00AE2AB1">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552B9D"/>
    <w:multiLevelType w:val="hybridMultilevel"/>
    <w:tmpl w:val="3760BAE6"/>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2AB1"/>
    <w:rsid w:val="00007F6C"/>
    <w:rsid w:val="00070252"/>
    <w:rsid w:val="00086545"/>
    <w:rsid w:val="000C5BB6"/>
    <w:rsid w:val="0017201E"/>
    <w:rsid w:val="00173EEC"/>
    <w:rsid w:val="002406A5"/>
    <w:rsid w:val="002629BF"/>
    <w:rsid w:val="00304864"/>
    <w:rsid w:val="003238A9"/>
    <w:rsid w:val="0044462A"/>
    <w:rsid w:val="004B0C44"/>
    <w:rsid w:val="004C306F"/>
    <w:rsid w:val="004C7703"/>
    <w:rsid w:val="00544BEB"/>
    <w:rsid w:val="005B1740"/>
    <w:rsid w:val="0061037C"/>
    <w:rsid w:val="0068793F"/>
    <w:rsid w:val="006C2F8B"/>
    <w:rsid w:val="00742BF6"/>
    <w:rsid w:val="00774616"/>
    <w:rsid w:val="007749DA"/>
    <w:rsid w:val="00810332"/>
    <w:rsid w:val="00843D1B"/>
    <w:rsid w:val="008C0F66"/>
    <w:rsid w:val="009E424A"/>
    <w:rsid w:val="00A11C2E"/>
    <w:rsid w:val="00A170B1"/>
    <w:rsid w:val="00A25255"/>
    <w:rsid w:val="00A27D96"/>
    <w:rsid w:val="00A336E1"/>
    <w:rsid w:val="00AA25C5"/>
    <w:rsid w:val="00AE2AB1"/>
    <w:rsid w:val="00B14F16"/>
    <w:rsid w:val="00B36F5D"/>
    <w:rsid w:val="00BE75D6"/>
    <w:rsid w:val="00C0102C"/>
    <w:rsid w:val="00C87732"/>
    <w:rsid w:val="00CD3489"/>
    <w:rsid w:val="00D10E78"/>
    <w:rsid w:val="00D16B98"/>
    <w:rsid w:val="00D20288"/>
    <w:rsid w:val="00D94933"/>
    <w:rsid w:val="00E716B6"/>
    <w:rsid w:val="00EA4860"/>
    <w:rsid w:val="00EE0F1B"/>
    <w:rsid w:val="00FB12B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5981511-CD77-42B9-802C-AFF2C1AC1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2629BF"/>
    <w:rPr>
      <w:color w:val="0563C1" w:themeColor="hyperlink"/>
      <w:u w:val="single"/>
    </w:rPr>
  </w:style>
  <w:style w:type="paragraph" w:styleId="NormaleWeb">
    <w:name w:val="Normal (Web)"/>
    <w:basedOn w:val="Normale"/>
    <w:uiPriority w:val="99"/>
    <w:semiHidden/>
    <w:unhideWhenUsed/>
    <w:rsid w:val="0044462A"/>
    <w:rPr>
      <w:rFonts w:ascii="Times New Roman" w:hAnsi="Times New Roman" w:cs="Times New Roman"/>
      <w:sz w:val="24"/>
      <w:szCs w:val="24"/>
    </w:rPr>
  </w:style>
  <w:style w:type="paragraph" w:styleId="Paragrafoelenco">
    <w:name w:val="List Paragraph"/>
    <w:basedOn w:val="Normale"/>
    <w:uiPriority w:val="34"/>
    <w:qFormat/>
    <w:rsid w:val="00742B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21226">
      <w:bodyDiv w:val="1"/>
      <w:marLeft w:val="0"/>
      <w:marRight w:val="0"/>
      <w:marTop w:val="0"/>
      <w:marBottom w:val="0"/>
      <w:divBdr>
        <w:top w:val="none" w:sz="0" w:space="0" w:color="auto"/>
        <w:left w:val="none" w:sz="0" w:space="0" w:color="auto"/>
        <w:bottom w:val="none" w:sz="0" w:space="0" w:color="auto"/>
        <w:right w:val="none" w:sz="0" w:space="0" w:color="auto"/>
      </w:divBdr>
    </w:div>
    <w:div w:id="283079285">
      <w:bodyDiv w:val="1"/>
      <w:marLeft w:val="0"/>
      <w:marRight w:val="0"/>
      <w:marTop w:val="0"/>
      <w:marBottom w:val="0"/>
      <w:divBdr>
        <w:top w:val="none" w:sz="0" w:space="0" w:color="auto"/>
        <w:left w:val="none" w:sz="0" w:space="0" w:color="auto"/>
        <w:bottom w:val="none" w:sz="0" w:space="0" w:color="auto"/>
        <w:right w:val="none" w:sz="0" w:space="0" w:color="auto"/>
      </w:divBdr>
    </w:div>
    <w:div w:id="1376587037">
      <w:bodyDiv w:val="1"/>
      <w:marLeft w:val="0"/>
      <w:marRight w:val="0"/>
      <w:marTop w:val="0"/>
      <w:marBottom w:val="0"/>
      <w:divBdr>
        <w:top w:val="none" w:sz="0" w:space="0" w:color="auto"/>
        <w:left w:val="none" w:sz="0" w:space="0" w:color="auto"/>
        <w:bottom w:val="none" w:sz="0" w:space="0" w:color="auto"/>
        <w:right w:val="none" w:sz="0" w:space="0" w:color="auto"/>
      </w:divBdr>
    </w:div>
    <w:div w:id="1569685428">
      <w:bodyDiv w:val="1"/>
      <w:marLeft w:val="0"/>
      <w:marRight w:val="0"/>
      <w:marTop w:val="0"/>
      <w:marBottom w:val="0"/>
      <w:divBdr>
        <w:top w:val="none" w:sz="0" w:space="0" w:color="auto"/>
        <w:left w:val="none" w:sz="0" w:space="0" w:color="auto"/>
        <w:bottom w:val="none" w:sz="0" w:space="0" w:color="auto"/>
        <w:right w:val="none" w:sz="0" w:space="0" w:color="auto"/>
      </w:divBdr>
    </w:div>
    <w:div w:id="1618953290">
      <w:bodyDiv w:val="1"/>
      <w:marLeft w:val="0"/>
      <w:marRight w:val="0"/>
      <w:marTop w:val="0"/>
      <w:marBottom w:val="0"/>
      <w:divBdr>
        <w:top w:val="none" w:sz="0" w:space="0" w:color="auto"/>
        <w:left w:val="none" w:sz="0" w:space="0" w:color="auto"/>
        <w:bottom w:val="none" w:sz="0" w:space="0" w:color="auto"/>
        <w:right w:val="none" w:sz="0" w:space="0" w:color="auto"/>
      </w:divBdr>
    </w:div>
    <w:div w:id="1973057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6825</Words>
  <Characters>38908</Characters>
  <Application>Microsoft Office Word</Application>
  <DocSecurity>4</DocSecurity>
  <Lines>324</Lines>
  <Paragraphs>91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45642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FALCO Domenico</dc:creator>
  <cp:keywords/>
  <dc:description/>
  <cp:lastModifiedBy>Morena Falancia</cp:lastModifiedBy>
  <cp:revision>2</cp:revision>
  <dcterms:created xsi:type="dcterms:W3CDTF">2023-07-03T06:39:00Z</dcterms:created>
  <dcterms:modified xsi:type="dcterms:W3CDTF">2023-07-03T06:39:00Z</dcterms:modified>
</cp:coreProperties>
</file>